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忠义与抉择：马超与关羽的命运交织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首先，从军事角度来看，马超和关羽所处的地理位置相隔较远，消息传递和军队调动都需要时间。当关羽陷入绝境时，马超可能并不清楚关羽的具体情况，即使得知消息，也难以及时做出有效的救援行动。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局势的影响不容忽视。马超在归降刘备后，虽然得到了重用，但其政治地位并不稳固。他需要时刻考虑自己的言行对刘备政权的影响。在当时的政治环境下，马超可能出于维护自身地位的需要，选择了谨慎行事，避免卷入可能对他不利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个人关系也是一个不可忽视的因素。尽管马超和关羽都是刘备的臣子，但他们之间的个人关系并不密切。马超加入刘备的时间较晚，与关羽之间缺乏深厚的交情。在关羽危难之际，马超可能出于对彼此关系的考量，没有选择冒险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最后，我们也不能忽视马超个人的局限性。作为一名将领，马超虽有勇力，但也有其自身的不足。他可能对自己的军事能力没有足够的信心，担心救援行动失败，反而造成更大的损失。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