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戴思恭的滋阴学说是怎么一回事？有着怎样的医学理论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辨明气与火的关系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辨明气与火的关系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止，表失卫护而不和，内失健悍而少降，营运渐远，肺失主持，妄动不已，五志厥阳之火起焉，上燔于肺，气乃病焉。何者气本属阳反胜则为火矣?河间曰：五志过极则为火也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(金匮钩玄 气属阳动作火论)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本来对东垣之学说“火乃元气之贼”的主张大加反对，但是在戴氏的言论中，已经显示着戴思恭已经非常了解东垣之说的真正意义，所以修正了丹溪的学说，而变成上述的言论，主张以气为人体生活所需要的正常机能，当正常机能发生混乱或妄动时，就产生了火，再因为火的出现而产生各种病变。这种机能的混乱，除了受外邪所侵之外，情绪极端变化亦会产生火的症状，这种观念其实是将东垣与丹溪两种学说，结合而产生的理论。经戴氏一说才能够让后世的习医者，了解丹溪的滋阴学说，而且因为戴思恭将东垣与丹溪两种学说做了一次结合，导致后来产生了明代温补学派的诞生，所以戴思恭的贡献实在非常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阴血之难成而易亏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‘内经曰：荣者水榖之精也，和调五脏，洒陈于六腑，乃能入于脉也。源源而来，生化于脾，总统于心，藏于脾肝，宣布于肺，施泄于肾，灌溉一身。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得之而能视，耳得之而能听，手得之而能摄，掌得之而能步，脏得之而能液，腑得之而能气，是以出入升降，濡润宣通者，由此使然也。注之于脉则涩，充则实，常以饮食曰滋，故能阳生阴长，液汗变化而赤为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生化旺则诸经持此而长养，衰耗则百脉由此而空虚，可不仅养哉!故曰血者神气也，持之则存;失之则亡。是知血盛则形盛，血弱则形弱，神静则阴生，形役则阳亢，阳盛则阴衰，又何言阳旺而生阴血也!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盖谓血气之常，阴从平，阳随气，运行于内，而无阴羁束，则气何以树立?故其致病也易，而调治也难，以其比阳常亏而又损之，则阳易亢阴易乏乏之论，可以见矣。’(金匮钩玄 血属难成而易亏论)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以日月之盈亏，来比喻人体之阳常有余而阴常不足，其词则难顺，而其理则不通;戴氏用血液之生长变化和用途，用来解释阳气易亢，阴血易乏的论点，则比其师聪明太多!是因为日月之盈亏对人体虽有影响，但总不及血液在人体所产生的直接影响来得大，而且容易让他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文中，戴氏先指出血液之来源，乃水榖之精华所化，并且能灌输全身，营养身体四肢百骸和五脏六腑，统经心脏而输出，而藏于肝脾两脏之中，并能分布于肺，而过虑于肾，这些血液的生理变化，与现代之生理学观念完全符合，所以容易被他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血液之用途和消耗甚大，所以血液之生化旺，则诸经持此而生长和营养，一旦衰竭，则百脉由此而空虚。在戴氏的观点之中，血液本属于阴，根据神静则阴生，而形役则阳亢之意，血液之生成甚为困难，而全身器官均需要其滋养，所以阴血常有不足之呼!而体力劳动形役之际，则所需阴血之量犹多，若阴血不足则阳亢随之而现，所谓阳盛阴衰是也。此种解说比之丹溪之说，就更加浅显而易明，而且又合乎现代的生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