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曹操为何北征乌桓 曹操北征乌桓时的将领军师</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w:t>
      </w:r>
    </w:p>
    <w:p>
      <w:pPr>
        <w:ind w:left="0" w:right="0" w:firstLine="560"/>
        <w:spacing w:before="450" w:after="450" w:line="312" w:lineRule="auto"/>
      </w:pPr>
      <w:r>
        <w:rPr>
          <w:rFonts w:ascii="宋体" w:hAnsi="宋体" w:eastAsia="宋体" w:cs="宋体"/>
          <w:color w:val="000"/>
          <w:sz w:val="28"/>
          <w:szCs w:val="28"/>
        </w:rPr>
        <w:t xml:space="preserve">　　曹操征乌桓时间</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有有郭嘉，还有田畴被当做向导官的隐士也算是曹操的军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这就是对“曹操北征乌桓是的将领军师有谁”这个问题的回答了。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2026-06-18T12:30:12+08:00</dcterms:created>
  <dcterms:modified xsi:type="dcterms:W3CDTF">2026-06-18T12:30:12+08:00</dcterms:modified>
</cp:coreProperties>
</file>

<file path=docProps/custom.xml><?xml version="1.0" encoding="utf-8"?>
<Properties xmlns="http://schemas.openxmlformats.org/officeDocument/2006/custom-properties" xmlns:vt="http://schemas.openxmlformats.org/officeDocument/2006/docPropsVTypes"/>
</file>