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天工开物简介 天工开物的主要内容和创作背景介绍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《天工开物》初刊于1637年(明崇祯十年丁丑)，共三卷十八篇，全书收录了农业、手工业，诸如机械、砖瓦、陶瓷、硫磺、烛、纸、兵器、火药、纺织、染色、制盐、采煤、榨油等生产技术。　　《天工开物》是世界上第一部关于农业和手工业生产的综合性著作...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《天工开物》初刊于1637年(明崇祯十年丁丑)，共三卷十八篇，全书收录了农业、手工业，诸如机械、砖瓦、陶瓷、硫磺、烛、纸、兵器、火药、纺织、染色、制盐、采煤、榨油等生产技术。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记载了明朝中叶以前中国古代的各项技术。《天工开物》初刊于1637年(明崇祯十年)。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上中下三卷18篇。并附有123幅插图，描绘了130多项生产技术和工具的名称、形状、工序。书名取自《尚书·皋陶谟》“天工人其代之”及《易·系辞》“开物成务”，作者说是“盖人巧造成异物也”(《五金》)。全书按“贵五谷而贱金玉之义”(《序》)分为《乃粒》(谷物)、《乃服》(纺织)、《彰施》(染色)、《粹精》(谷物加工)、《作咸》(制盐)、《甘嗜》(食糖)、《膏液》(食油)、《陶埏》(陶瓷)、《冶铸》、《舟车》、《锤煅》、《燔石》(煤石烧制)、《杀青》(造纸)、《五金》、《佳兵》(兵器)、《丹青》(矿物颜料)、《曲蘖》(酒曲)和《珠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全书详细叙述了各种农作物和手工业原料的种类、产地、生产技术和工艺装备，以及一些生产组织经验。上卷记载了谷物豆麻的栽培和加工方法，蚕丝棉苎的纺织和染色技术，以及制盐、制糖工艺。中卷内容包括砖瓦、陶瓷的制作，车船的建造，金属的铸锻，煤炭、石灰、硫黄、白矾的开采和烧制，以及榨油、造纸方法等。下卷记述金属矿物的开采和冶炼，兵器的制造，颜料、酒曲的生产，以及珠玉的采集加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分散体现了中国古代物理知识，如在提水工具(筒车、水滩、风车)、船舵、灌钢、泥型铸釜、失蜡铸造、排除煤矿瓦斯方法、盐井中的吸卤器(唧筒)、熔融、提取法等中都有许多力学、热学等物理知识。在《五金》篇中，明确指出，锌是一种新金属，并且首次记载了它的冶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记录了农民培育水稻、大麦新品种的事例，研究了土壤、气候、栽培方法对作物品种变化的影响，又注意到不同品种蚕蛾杂交引起变异的情况，说明通过人为的努力，可以改变动植物的品种特性，得出了“土脉历时代而异，种性随水土而分”的科学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出生于士大夫家族，有较好的学习氛围。加上自身的勤奋好学，具有较高的文化素养。激烈的科场竞争，曾留给他屡次不中的阴影。往后的仕途生涯也未达到决策圈的显赫地位，但其对于学问的追求却从未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宋应星治学旨趣最大的特色在于“新”和“异”，其最主要的治学途径就是走出书斋，接触社会。其游历考察和底层官员的仕途经历，使之有更多的机会来了解基层群众生产领域的工艺流程。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股取士的确定，理学逐渐变为僵化的科举教条，严重阻碍着科学技术的发展。明嘉靖以后，王阳明的心学风行大江南北，江西成为王学传播与发展的重要阵地。有别于以性理道学为上的主流思潮，远承阳明之学的泰州学派等有为于世、反虚务实的小众思想在这一时期也有所发展。泰州学派在长江中下游，尤其是长江三角洲和赣江流域等商品经济发达的地区影响较大，其创始于王艮，影响最大的是李贽，他们提出“百姓日用是道”的命题，体现了崇尚经世致用的进步思想，反映了平民、布衣等阶层的要求和愿望，具有反封建统治的进步意义，并逐渐成为一门显学。明末清初西学东渐之风的兴盛对中国传统文化也产生了巨大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明代是中国古代农业、手工业、商业都比较发达的阶段，由于商品经济的发展，明代中期后，部分地区，不少行业中出现了资本主义萌芽。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在农业中，耕地面积扩大，作物品种得到改良和增加，粮食作物、经济作物的单位面积产量和总产量都有了明显提高。一些地区出现了专业化经营。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明代手工业种类较多，且已具备了一定规模，尤其是与国计民生关系较为密切的冶金、陶瓷、纺织等行业最为发达。棉纺织业成为主要的家庭副业，制瓷业驰名中外，冶矿业由官营向民营发展，造船业发达等。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明代商业和交通亦较发达，白银成为主要的流通货币;一些巨商往往致富于数千里之外，涌现了一些有名的商帮;沿海地区商贸中心和新兴市镇进一步发展。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