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应仁之乱的影响：旧势力的没落以及新兴势力的抬头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1467年3月，47岁的日本水墨画画圣雪舟搭乘遣明船自博多港出发，一路往浙江省宁波航行。两年后回国时，京都和大坂均因战乱尽为焦土。　　旧势力的没落以及新兴势力的抬头，贯穿室町时代的关键词就是，‘旧势力的没落以及新兴势力的抬头’。从镰仓时...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1467年3月，47岁的日本水墨画画圣雪舟搭乘遣明船自博多港出发，一路往浙江省宁波航行。两年后回国时，京都和大坂均因战乱尽为焦土。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势力的没落以及新兴势力的抬头，贯穿室町时代的关键词就是，‘旧势力的没落以及新兴势力的抬头’。从镰仓时代后期开始，以名门武家、公家为首的旧势力不断被随生产力上升而壮大的国人、商人农民等取代已有权益。另外，由守护大名合议制组成的联合政权室町幕府中，除了3代将军足利义满以外，刚成立时将军的权力基础都十分脆弱，同时守护大名也自身难保，他们的权力渐渐受到守护代或有力家臣强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候、由长子継承家督政权的体制因种种原因并未完全确立，这就是将军家・守护大名家为了争夺家督而发生的“御家骚动”的原因。以长子继承家督、在丰臣秀吉天下统一以后制度化、江戸幕藩体制中确立，在明治时代的旧民法法制化以及在战后的民法继续修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