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东吴第一谋士之争落幕？这位&amp;quot;隐形宰相&amp;quot;才是孙权背后的战略巨匠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　　一、军事光芒下的战略...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一、军事光芒下的战略盲区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众将的军事传奇往往遮蔽了更深层的战略博弈。周瑜的\"二分天下\"构想虽具魄力，却需直面曹魏的钢铁洪流；陆逊的\"忍辱负重\"战术虽保江山，终究是被动防御。真正奠定东吴立国根基的，是一套将地缘、经济、人才三维联动的系统化战略——而这正是张昭毕生构建的\"吴国操作系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二、制度奠基者的无声革命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权\"最依赖的萧何\"，张昭完成了从流寇政权到正规王国的蜕变。他主导制定的《吴科》二十卷，将江东豪强纳入法制轨道；首创\"屯田客\"制度，既解决军粮又抑制土地兼并；更在赤壁战前精准预判：\"曹操虽强，然北军不习水战，此天授之机也\"。这些制度设计使东吴在三国中率先实现\"战时经济-平时治理\"的无缝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三、人才孵化器的战略远见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识人之明堪称东吴第一。其举荐的顾雍终成丞相，打造的\"吴郡士族集团\"支撑江东百年；对诸葛瑾的破格提拔，促成与蜀汉的\"隐形联盟\"；甚至对年轻吕蒙的\"劝学\"督导，间接催生出\"白衣渡江\"的奇谋。这种人才梯队建设，让孙权始终保持着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四、文化整合的隐形战场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称帝的关键节点，张昭主持编纂《吴书》，构建\"天命在吴\"的意识形态。他巧妙融合吴越本土信仰与中原儒家文化，创造出独特的\"江东文化认同\"。这种软实力建设，使得司马懿感叹：\"吴人善保其主，非偶然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五、历史终局的终极验证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在晚年陷入权力癫狂时，张昭已悄然完成战略使命。从赤壁战前的力主抗曹，到称帝仪式上的坚决反对，这位四朝元老始终扮演着\"战略刹车\"的角色。正如陈寿评价：\"昭容貌矜严，有威风，孙权以下举邦惮之。\"这种威慑力，恰是东吴政权稳定运行的终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人执着于比较周瑜陆逊的军事才华时，真正该思考的是：没有张昭打造的制度基石、人才体系与文化认同，东吴的战船能否在长江上航行百年？这位从未亲自领兵却操控着整个战略棋局的\"隐形宰相\"，才是三国博弈中最深邃的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