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西汉赵广汉用哪项“新发明”解决豪强勾结问题？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的赵广汉一生为官正直，不避权贵，嫉恶如仇。元平元年(前74年)，赵广汉调任颍川郡太守。当时的颍川郡乌烟瘴气，豪门大族通过互为姻亲，勾结在一起，又上联政府官员结为朋党，下结山林群盗暗中勾搭，盘根错节，势力庞大。面对复杂混乱的局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赵广汉一生为官正直，不避权贵，嫉恶如仇。元平元年(前74年)，赵广汉调任颍川郡太守。当时的颍川郡乌烟瘴气，豪门大族通过互为姻亲，勾结在一起，又上联政府官员结为朋党，下结山林群盗暗中勾搭，盘根错节，势力庞大。面对复杂混乱的局面，赵广汉受储钱罐的启发，模拟储钱罐的外形发明了举报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报箱的发明规避了民众怕遭受打击报复不敢举报的心理，在短时间内接收到民众的大量投诉信件，各派势力所犯下的罪行渐渐浮出水面。在掌握各豪门大族犯罪事实的基础上，赵广汉又出奇招：制造内讧，“以毒攻毒”，使各豪门大族间内讧频发，很快就被收拾掉。不到一年，颍川郡大治，赵广汉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