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律师事务所实习报告(四篇)</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一成都，曾被《新周刊》杂志誉为继北京、上海、广州之后的“中国第四城”。作为悠久的历史文化名城，成都在中国经济文化中的地位可见一斑。现又正值中国入世，深化西部大开发的双重历史机遇，如何招商引资，打造城市竞...</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律师事务所的实习报告律师事务所实习报告一</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律师事务所的实习报告律师事务所实习报告二</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