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集约税收管理资源提高风险防控水平</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集约税收管理资源提高风险防控水平 集约税收管理资源提高风险防控水平集约税收管理资源提高风险防控水平摘要:精益化税收管理是电网企业实施集约化、战略化现代企业管理的重要模式之一,税收风险防控机制的科学、高效运转,使企业能够实现更优的管理质量及更...</w:t>
      </w:r>
    </w:p>
    <w:p>
      <w:pPr>
        <w:ind w:left="0" w:right="0" w:firstLine="560"/>
        <w:spacing w:before="450" w:after="450" w:line="312" w:lineRule="auto"/>
      </w:pPr>
      <w:r>
        <w:rPr>
          <w:rFonts w:ascii="宋体" w:hAnsi="宋体" w:eastAsia="宋体" w:cs="宋体"/>
          <w:color w:val="000"/>
          <w:sz w:val="28"/>
          <w:szCs w:val="28"/>
        </w:rPr>
        <w:t xml:space="preserve">集约税收管理资源提高风险防控水平 集约税收管理资源提高风险防控水平集约税收管理资源提高风险防控水平</w:t>
      </w:r>
    </w:p>
    <w:p>
      <w:pPr>
        <w:ind w:left="0" w:right="0" w:firstLine="560"/>
        <w:spacing w:before="450" w:after="450" w:line="312" w:lineRule="auto"/>
      </w:pPr>
      <w:r>
        <w:rPr>
          <w:rFonts w:ascii="宋体" w:hAnsi="宋体" w:eastAsia="宋体" w:cs="宋体"/>
          <w:color w:val="000"/>
          <w:sz w:val="28"/>
          <w:szCs w:val="28"/>
        </w:rPr>
        <w:t xml:space="preserve">摘要:精益化税收管理是电网企业实施集约化、战略化现代企业管理的重要模式之一,税收风险防控机制的科学、高效运转,使企业能够实现更优的管理质量及更高的管理效益,促进企业发展。</w:t>
      </w:r>
    </w:p>
    <w:p>
      <w:pPr>
        <w:ind w:left="0" w:right="0" w:firstLine="560"/>
        <w:spacing w:before="450" w:after="450" w:line="312" w:lineRule="auto"/>
      </w:pPr>
      <w:r>
        <w:rPr>
          <w:rFonts w:ascii="宋体" w:hAnsi="宋体" w:eastAsia="宋体" w:cs="宋体"/>
          <w:color w:val="000"/>
          <w:sz w:val="28"/>
          <w:szCs w:val="28"/>
        </w:rPr>
        <w:t xml:space="preserve">关键词:集约;资源;风险;防控</w:t>
      </w:r>
    </w:p>
    <w:p>
      <w:pPr>
        <w:ind w:left="0" w:right="0" w:firstLine="560"/>
        <w:spacing w:before="450" w:after="450" w:line="312" w:lineRule="auto"/>
      </w:pPr>
      <w:r>
        <w:rPr>
          <w:rFonts w:ascii="宋体" w:hAnsi="宋体" w:eastAsia="宋体" w:cs="宋体"/>
          <w:color w:val="000"/>
          <w:sz w:val="28"/>
          <w:szCs w:val="28"/>
        </w:rPr>
        <w:t xml:space="preserve">随着经济全球化发展,日益激烈的市场竞争促使成本控制成为电网企业提升竞争实力、实现可持续发展的重要途径之一。税收管理作为成本控制的重要内容,在经济危机的影响、企业内部控制规范的实施、税制改革以及国家对税收监管不断精细的背景下,也面临压力和挑战。如何健全企业税收内控体制,科学合理制定税收管理策略,防范经营风险,实现企业经济效益的整体提升,就成了电网企业的一项重要课题。</w:t>
      </w:r>
    </w:p>
    <w:p>
      <w:pPr>
        <w:ind w:left="0" w:right="0" w:firstLine="560"/>
        <w:spacing w:before="450" w:after="450" w:line="312" w:lineRule="auto"/>
      </w:pPr>
      <w:r>
        <w:rPr>
          <w:rFonts w:ascii="宋体" w:hAnsi="宋体" w:eastAsia="宋体" w:cs="宋体"/>
          <w:color w:val="000"/>
          <w:sz w:val="28"/>
          <w:szCs w:val="28"/>
        </w:rPr>
        <w:t xml:space="preserve">一、税收风险防控体系建立背景</w:t>
      </w:r>
    </w:p>
    <w:p>
      <w:pPr>
        <w:ind w:left="0" w:right="0" w:firstLine="560"/>
        <w:spacing w:before="450" w:after="450" w:line="312" w:lineRule="auto"/>
      </w:pPr>
      <w:r>
        <w:rPr>
          <w:rFonts w:ascii="宋体" w:hAnsi="宋体" w:eastAsia="宋体" w:cs="宋体"/>
          <w:color w:val="000"/>
          <w:sz w:val="28"/>
          <w:szCs w:val="28"/>
        </w:rPr>
        <w:t xml:space="preserve">精益化税收风险防控体系是地市级供电企业紧紧围绕国家电网公司“集团化运作、集约化发展、精益化管理、标准化建设”的发展方式要求,以全面深入推进财务集约化管理为主线,以依法经营为理念,通过精细税收过程管理,进一步整合税企文化,有效控制税收风险,合理筹划税收成本,提升企业竞争力,促进企业实现可持续发展而建立的一整套税收风险防控机制。</w:t>
      </w:r>
    </w:p>
    <w:p>
      <w:pPr>
        <w:ind w:left="0" w:right="0" w:firstLine="560"/>
        <w:spacing w:before="450" w:after="450" w:line="312" w:lineRule="auto"/>
      </w:pPr>
      <w:r>
        <w:rPr>
          <w:rFonts w:ascii="宋体" w:hAnsi="宋体" w:eastAsia="宋体" w:cs="宋体"/>
          <w:color w:val="000"/>
          <w:sz w:val="28"/>
          <w:szCs w:val="28"/>
        </w:rPr>
        <w:t xml:space="preserve">二、税收风险防控体系的内涵和目的</w:t>
      </w:r>
    </w:p>
    <w:p>
      <w:pPr>
        <w:ind w:left="0" w:right="0" w:firstLine="560"/>
        <w:spacing w:before="450" w:after="450" w:line="312" w:lineRule="auto"/>
      </w:pPr>
      <w:r>
        <w:rPr>
          <w:rFonts w:ascii="宋体" w:hAnsi="宋体" w:eastAsia="宋体" w:cs="宋体"/>
          <w:color w:val="000"/>
          <w:sz w:val="28"/>
          <w:szCs w:val="28"/>
        </w:rPr>
        <w:t xml:space="preserve">1.税收风险防控体系的内涵。近年来,电网企业税收管理的精益化程度愈来愈高,税收筹划的重点不断细化,税收筹划的范围已实现从大税种向小税种、从主营业务向农维费的覆盖,逐步实现了从基本税收政策的单一层次筹划到税收优惠政策等多层次筹划的拓展,涉及的税种包括企业所得税、增值税、营业税、房产税、土地使用税、印花税及个人所得税等。同时,企业注重加强企业税收风险文化建设,逐步建立了企业依法纳税、合理筹划、合法节税的意识。在税收管理活动过程中,建立了畅通的税企交流机制,达到了促进电网企业政策运用与税务机关执法趋同的目的,进一步优化具有电力企业特色的、集约化的税收风险防控体系。</w:t>
      </w:r>
    </w:p>
    <w:p>
      <w:pPr>
        <w:ind w:left="0" w:right="0" w:firstLine="560"/>
        <w:spacing w:before="450" w:after="450" w:line="312" w:lineRule="auto"/>
      </w:pPr>
      <w:r>
        <w:rPr>
          <w:rFonts w:ascii="宋体" w:hAnsi="宋体" w:eastAsia="宋体" w:cs="宋体"/>
          <w:color w:val="000"/>
          <w:sz w:val="28"/>
          <w:szCs w:val="28"/>
        </w:rPr>
        <w:t xml:space="preserve">三、税收风险防控体系的具体运作 3.开展税收风险分析,提高风险甄别能力。税收政策面多量广、更新快,要全面掌握、合理运用存在较大困难,而税法与企业会计准则在计量、确认等方面虽然逐步趋同,但仍存在较大差异。例如,企业会计核算遵循的是权责发生制,而税法上是权责发生制与收付实现制并存,同时企业由于缺乏定期全面检查机制,因自身计算差错或对税收政策误解导致差错也难以及时发现出来,因此企业的税收管理工作中的风险点无处不在。电网企业税收风险类型复杂多样,具体分类(见表</w:t>
      </w:r>
    </w:p>
    <w:p>
      <w:pPr>
        <w:ind w:left="0" w:right="0" w:firstLine="560"/>
        <w:spacing w:before="450" w:after="450" w:line="312" w:lineRule="auto"/>
      </w:pPr>
      <w:r>
        <w:rPr>
          <w:rFonts w:ascii="宋体" w:hAnsi="宋体" w:eastAsia="宋体" w:cs="宋体"/>
          <w:color w:val="000"/>
          <w:sz w:val="28"/>
          <w:szCs w:val="28"/>
        </w:rPr>
        <w:t xml:space="preserve">1)。正确分析税收风险的类别和级次是税收风险防控体系有效运作的关键环节。</w:t>
      </w:r>
    </w:p>
    <w:p>
      <w:pPr>
        <w:ind w:left="0" w:right="0" w:firstLine="560"/>
        <w:spacing w:before="450" w:after="450" w:line="312" w:lineRule="auto"/>
      </w:pPr>
      <w:r>
        <w:rPr>
          <w:rFonts w:ascii="宋体" w:hAnsi="宋体" w:eastAsia="宋体" w:cs="宋体"/>
          <w:color w:val="000"/>
          <w:sz w:val="28"/>
          <w:szCs w:val="28"/>
        </w:rPr>
        <w:t xml:space="preserve">4.精细税收管理,着力控制税收风险。从外部环境来看,随着税制的改革和发展,税收监管手段趋于科学化、信息化及精细化,税收风险存在于企业税收管理的整个过程和各个环节,日益复杂多样的税收风险对企业税收管理提出更加精细的要求;从内部管理来看,税管人员的轮换使政策运用的延续性和衔接性方面存在风险,而税收筹划业务的不断拓展,进一步加大税收风险,企业必须做细做实税收管理工作,为高质量的税管工作提供有效支撑。</w:t>
      </w:r>
    </w:p>
    <w:p>
      <w:pPr>
        <w:ind w:left="0" w:right="0" w:firstLine="560"/>
        <w:spacing w:before="450" w:after="450" w:line="312" w:lineRule="auto"/>
      </w:pPr>
      <w:r>
        <w:rPr>
          <w:rFonts w:ascii="宋体" w:hAnsi="宋体" w:eastAsia="宋体" w:cs="宋体"/>
          <w:color w:val="000"/>
          <w:sz w:val="28"/>
          <w:szCs w:val="28"/>
        </w:rPr>
        <w:t xml:space="preserve">电网企业通过细化税收日常工作,有效落实各业务环节管理责任,将税收风险管理与经济业务核算管理相融合;按期梳理企业各项税收政策变动状况,定期组织各岗位人员学习和交流,确保税收政策落实到位,有效提高日常税收核算过程中的政策运用水平,从源头上控制风险;注重企业风险防范体系的建设,强化风险的前瞻性管理,要求各岗位针对政策变化主动查找风险环节及风险关键点,科学、细致的开展风险分析和评估,制定多层次的风险预控措施,不断提高企业风险防范水平,努力构筑企业税收风险防线,为企业依法经营保驾护航。</w:t>
      </w:r>
    </w:p>
    <w:p>
      <w:pPr>
        <w:ind w:left="0" w:right="0" w:firstLine="560"/>
        <w:spacing w:before="450" w:after="450" w:line="312" w:lineRule="auto"/>
      </w:pPr>
      <w:r>
        <w:rPr>
          <w:rFonts w:ascii="宋体" w:hAnsi="宋体" w:eastAsia="宋体" w:cs="宋体"/>
          <w:color w:val="000"/>
          <w:sz w:val="28"/>
          <w:szCs w:val="28"/>
        </w:rPr>
        <w:t xml:space="preserve">5.建立一盘棋的税收风险防控机制,实现集团运作效益。企业税收管理工作与企业经济安全紧密相连,企业涉税事项可能触及经济违规,上级单位严格的考核机制也给企业带来压力。因此,涉税事项出现时,各单位呈现出各自为阵、逐级协调的局面。涉税事项可能只是暂时在局部范围内得到协调,并不能彻底改善,不利于地市级电网企业及上级单位今后相关管理工作的改进和提高;同时,由于各自为阵,大大增加了税收协调成本,加大企业经营风险,影响企业经济效益及稳定发展。</w:t>
      </w:r>
    </w:p>
    <w:p>
      <w:pPr>
        <w:ind w:left="0" w:right="0" w:firstLine="560"/>
        <w:spacing w:before="450" w:after="450" w:line="312" w:lineRule="auto"/>
      </w:pPr>
      <w:r>
        <w:rPr>
          <w:rFonts w:ascii="宋体" w:hAnsi="宋体" w:eastAsia="宋体" w:cs="宋体"/>
          <w:color w:val="000"/>
          <w:sz w:val="28"/>
          <w:szCs w:val="28"/>
        </w:rPr>
        <w:t xml:space="preserve">为改变企业税收协调各自为阵、税收风险零散管理的状况,地市级供电企业需要坚持“集约出效益”的理念,紧紧围绕用足用好财税政策的管理思路,努力构建全区一盘棋的税收风险管理机制。通过优化管理体系,细化税收管理职责,实施分专业垂直管理,对全区税收环境进行全面调研,对涉税共性业务,实行统一协调管理,从地区层面协调至县域层面,确保共性税收事项的集约管理并实现管理效益;对非共性涉税业务,集全区财务人员之力,组织专业讨论,制定解决方案,主动与业务属地税务部门沟通,务求达成一致意见,解决方案经验证可行后,在全地区供电系统推广运用。6.开辟顺畅税企沟通交流渠道,营造良好纳税环境。中国税制改革举措频出,但税收政策无法兼顾各行业差异,企业对税收政策的解读和研究面临巨大挑战,如果企业不注重与税务部门在政策解读方面进行沟通、交流,有可能加大政策运用风险,甚至可能造成企业税收管理工作与税务执法相对立的局面。</w:t>
      </w:r>
    </w:p>
    <w:p>
      <w:pPr>
        <w:ind w:left="0" w:right="0" w:firstLine="560"/>
        <w:spacing w:before="450" w:after="450" w:line="312" w:lineRule="auto"/>
      </w:pPr>
      <w:r>
        <w:rPr>
          <w:rFonts w:ascii="宋体" w:hAnsi="宋体" w:eastAsia="宋体" w:cs="宋体"/>
          <w:color w:val="000"/>
          <w:sz w:val="28"/>
          <w:szCs w:val="28"/>
        </w:rPr>
        <w:t xml:space="preserve">电网企业应注重开展税企之间交流互动活动,“走出去”与“请进来”并举,一方面组织电网企业财务人员走进税务,积极参加税务部门举办的业务培训,参与税务部门工作效能监督;另一方面积极创造条件邀请税务部门走进企业,请税务部门到企业来授课、指导,探讨税收政策风险点及运用思路,让税务部门适时了解电力企业坚持依法经营、依法纳税的管理理念、行业状况以及在税收管理方面的专业特色,促进税企在税收政策的执行、运用上形成共识,实现双方共赢局面。</w:t>
      </w:r>
    </w:p>
    <w:p>
      <w:pPr>
        <w:ind w:left="0" w:right="0" w:firstLine="560"/>
        <w:spacing w:before="450" w:after="450" w:line="312" w:lineRule="auto"/>
      </w:pPr>
      <w:r>
        <w:rPr>
          <w:rFonts w:ascii="宋体" w:hAnsi="宋体" w:eastAsia="宋体" w:cs="宋体"/>
          <w:color w:val="000"/>
          <w:sz w:val="28"/>
          <w:szCs w:val="28"/>
        </w:rPr>
        <w:t xml:space="preserve">7.建立健全税收风险信息档案。将税收风险档案纳入企业经营管理档案系统。要求电网企业定期对税收管理新政及文件制度收集整理,并将近年来历次税收检查中存在问题及解决方案、发现的税收风险点及风险预控措施、税收筹划风险管理等信息资料汇总上报至上级单位,上级单位集约汇编形成信息档案。税收风险信息档案的建立,为指导各单位深层次防范税收风险提供了有力的政策支撑和工作经验参考。</w:t>
      </w:r>
    </w:p>
    <w:p>
      <w:pPr>
        <w:ind w:left="0" w:right="0" w:firstLine="560"/>
        <w:spacing w:before="450" w:after="450" w:line="312" w:lineRule="auto"/>
      </w:pPr>
      <w:r>
        <w:rPr>
          <w:rFonts w:ascii="宋体" w:hAnsi="宋体" w:eastAsia="宋体" w:cs="宋体"/>
          <w:color w:val="000"/>
          <w:sz w:val="28"/>
          <w:szCs w:val="28"/>
        </w:rPr>
        <w:t xml:space="preserve">四、取得的主要成效</w:t>
      </w:r>
    </w:p>
    <w:p>
      <w:pPr>
        <w:ind w:left="0" w:right="0" w:firstLine="560"/>
        <w:spacing w:before="450" w:after="450" w:line="312" w:lineRule="auto"/>
      </w:pPr>
      <w:r>
        <w:rPr>
          <w:rFonts w:ascii="宋体" w:hAnsi="宋体" w:eastAsia="宋体" w:cs="宋体"/>
          <w:color w:val="000"/>
          <w:sz w:val="28"/>
          <w:szCs w:val="28"/>
        </w:rPr>
        <w:t xml:space="preserve">1.深入税收政策研究,实现节税增效。准确把握政策导向,做好税收政策研究,调整税收管理策略,通过加强所得税优惠政策、增值税转型、节能设备抵税等各项政策筹划,带来明显成效。电网企业通过应用“企业购置并使用符合《优惠目录》的环保产业设备抵免所得税优惠政策、均衡工资发放和利用一次性奖金纳税特殊优惠政策的筹划、技改利用国产设备投资抵免所得税优惠”等政策,可实现节税增效。</w:t>
      </w:r>
    </w:p>
    <w:p>
      <w:pPr>
        <w:ind w:left="0" w:right="0" w:firstLine="560"/>
        <w:spacing w:before="450" w:after="450" w:line="312" w:lineRule="auto"/>
      </w:pPr>
      <w:r>
        <w:rPr>
          <w:rFonts w:ascii="宋体" w:hAnsi="宋体" w:eastAsia="宋体" w:cs="宋体"/>
          <w:color w:val="000"/>
          <w:sz w:val="28"/>
          <w:szCs w:val="28"/>
        </w:rPr>
        <w:t xml:space="preserve">2.建立风险管理的预控机制,提高基层企业抗风险能力。结合当地税收管理环境,针对税收管理的重点环节,制定风险管理的预控措施,促进税收管理体制有效运转,提高抗风险能力,使电网企业在变化莫测的市场环境中有效的化解税收风险,促进企业实现可持续发展目标。</w:t>
      </w:r>
    </w:p>
    <w:p>
      <w:pPr>
        <w:ind w:left="0" w:right="0" w:firstLine="560"/>
        <w:spacing w:before="450" w:after="450" w:line="312" w:lineRule="auto"/>
      </w:pPr>
      <w:r>
        <w:rPr>
          <w:rFonts w:ascii="宋体" w:hAnsi="宋体" w:eastAsia="宋体" w:cs="宋体"/>
          <w:color w:val="000"/>
          <w:sz w:val="28"/>
          <w:szCs w:val="28"/>
        </w:rPr>
        <w:t xml:space="preserve">3.纳税环境日趋优化。以税企沟通平台为纽带,电网企业在日常工作中与税务部门通过开展互动交流,让税务部门适时了解电网企业坚持依法经营,依法纳税的管理理念,及在税收管理上的特色,促进对方在执法时能结合企业管理特点作出决策。同时通过邀请税务专家来企业授课以及受邀担任税务机关的廉政监督员等多种互动形式,多渠道整合税企文化,企业纳税环境日趋优化。</w:t>
      </w:r>
    </w:p>
    <w:p>
      <w:pPr>
        <w:ind w:left="0" w:right="0" w:firstLine="560"/>
        <w:spacing w:before="450" w:after="450" w:line="312" w:lineRule="auto"/>
      </w:pPr>
      <w:r>
        <w:rPr>
          <w:rFonts w:ascii="宋体" w:hAnsi="宋体" w:eastAsia="宋体" w:cs="宋体"/>
          <w:color w:val="000"/>
          <w:sz w:val="28"/>
          <w:szCs w:val="28"/>
        </w:rPr>
        <w:t xml:space="preserve">参考文献: [2]阴锦春.中国企业税收风险管理机制分析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2026-04-24T01:19:04+08:00</dcterms:created>
  <dcterms:modified xsi:type="dcterms:W3CDTF">2026-04-24T01:19:04+08:00</dcterms:modified>
</cp:coreProperties>
</file>

<file path=docProps/custom.xml><?xml version="1.0" encoding="utf-8"?>
<Properties xmlns="http://schemas.openxmlformats.org/officeDocument/2006/custom-properties" xmlns:vt="http://schemas.openxmlformats.org/officeDocument/2006/docPropsVTypes"/>
</file>