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浅析我国碳税的可行性</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一、碳税提出的背景 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w:t>
      </w:r>
    </w:p>
    <w:p>
      <w:pPr>
        <w:ind w:left="0" w:right="0" w:firstLine="560"/>
        <w:spacing w:before="450" w:after="450" w:line="312" w:lineRule="auto"/>
      </w:pPr>
      <w:r>
        <w:rPr>
          <w:rFonts w:ascii="宋体" w:hAnsi="宋体" w:eastAsia="宋体" w:cs="宋体"/>
          <w:color w:val="000"/>
          <w:sz w:val="28"/>
          <w:szCs w:val="28"/>
        </w:rPr>
        <w:t xml:space="preserve">一、碳税提出的背景</w:t>
      </w:r>
    </w:p>
    <w:p>
      <w:pPr>
        <w:ind w:left="0" w:right="0" w:firstLine="560"/>
        <w:spacing w:before="450" w:after="450" w:line="312" w:lineRule="auto"/>
      </w:pPr>
      <w:r>
        <w:rPr>
          <w:rFonts w:ascii="宋体" w:hAnsi="宋体" w:eastAsia="宋体" w:cs="宋体"/>
          <w:color w:val="000"/>
          <w:sz w:val="28"/>
          <w:szCs w:val="28"/>
        </w:rPr>
        <w:t xml:space="preserve">中国正进入经济转型阶段，国家致力于加快五位一体建设的有效进程，此模式下的生态追求逐渐成为发展阶段的重要要素。随着世界经济格局的不断转变，西方部分国家己在碳排放背景下提出了相关税制。基于中国的国情，本文以碳税的提出为主旋律，由近期中国部分城市的雾霆天气引发选题方向，对碳排放税的实施方案及模型比较进行了深入的思考研究。同时，通过己知相关数据的罗列与分析，本文合理融合供求关系模型以及庇古税理论，对碳排放税的提出进行了宏观和微观分析，并以此为契机，对中国式各企业及领域的横向、纵向不确定性背景，提出了碳排放相关税制的中国式方案。</w:t>
      </w:r>
    </w:p>
    <w:p>
      <w:pPr>
        <w:ind w:left="0" w:right="0" w:firstLine="560"/>
        <w:spacing w:before="450" w:after="450" w:line="312" w:lineRule="auto"/>
      </w:pPr>
      <w:r>
        <w:rPr>
          <w:rFonts w:ascii="宋体" w:hAnsi="宋体" w:eastAsia="宋体" w:cs="宋体"/>
          <w:color w:val="000"/>
          <w:sz w:val="28"/>
          <w:szCs w:val="28"/>
        </w:rPr>
        <w:t xml:space="preserve">二、碳税可行性案例分析</w:t>
      </w:r>
    </w:p>
    <w:p>
      <w:pPr>
        <w:ind w:left="0" w:right="0" w:firstLine="560"/>
        <w:spacing w:before="450" w:after="450" w:line="312" w:lineRule="auto"/>
      </w:pPr>
      <w:r>
        <w:rPr>
          <w:rFonts w:ascii="宋体" w:hAnsi="宋体" w:eastAsia="宋体" w:cs="宋体"/>
          <w:color w:val="000"/>
          <w:sz w:val="28"/>
          <w:szCs w:val="28"/>
        </w:rPr>
        <w:t xml:space="preserve">1、纵向中外对比</w:t>
      </w:r>
    </w:p>
    <w:p>
      <w:pPr>
        <w:ind w:left="0" w:right="0" w:firstLine="560"/>
        <w:spacing w:before="450" w:after="450" w:line="312" w:lineRule="auto"/>
      </w:pPr>
      <w:r>
        <w:rPr>
          <w:rFonts w:ascii="宋体" w:hAnsi="宋体" w:eastAsia="宋体" w:cs="宋体"/>
          <w:color w:val="000"/>
          <w:sz w:val="28"/>
          <w:szCs w:val="28"/>
        </w:rPr>
        <w:t xml:space="preserve">对于碳排放税，西方部分国家己经进行了阶段性的测试与实施。1997年，哥斯达黎加作为生态先锋，引进了碳税这一税种，而对良好的环境绩效指数，这一举措在环境层次上享受着突破性待遇。此外，他们对环境的重视，反而推动了国家经济的发展。可见，立足于绿色经济，碳税这一理念的实施存在一定的优越性。</w:t>
      </w:r>
    </w:p>
    <w:p>
      <w:pPr>
        <w:ind w:left="0" w:right="0" w:firstLine="560"/>
        <w:spacing w:before="450" w:after="450" w:line="312" w:lineRule="auto"/>
      </w:pPr>
      <w:r>
        <w:rPr>
          <w:rFonts w:ascii="宋体" w:hAnsi="宋体" w:eastAsia="宋体" w:cs="宋体"/>
          <w:color w:val="000"/>
          <w:sz w:val="28"/>
          <w:szCs w:val="28"/>
        </w:rPr>
        <w:t xml:space="preserve">2025年，新西兰政府深入履行《京都议定书》的承诺，在多次计划征收破坏环境的固体、气体税费进程中，提出了碳税的征收举措。新西兰政府采取了每排放一吨碳，征收一定数额的新西兰元制度，与此同时，他们还对部分高耗能企业采取相关保护性措施等。这一新税种，并未增加国家收入，但也未给各企业造成实质性负担，得益于政府通过其他税收变化与这一税收增加收入相平衡的举措。</w:t>
      </w:r>
    </w:p>
    <w:p>
      <w:pPr>
        <w:ind w:left="0" w:right="0" w:firstLine="560"/>
        <w:spacing w:before="450" w:after="450" w:line="312" w:lineRule="auto"/>
      </w:pPr>
      <w:r>
        <w:rPr>
          <w:rFonts w:ascii="宋体" w:hAnsi="宋体" w:eastAsia="宋体" w:cs="宋体"/>
          <w:color w:val="000"/>
          <w:sz w:val="28"/>
          <w:szCs w:val="28"/>
        </w:rPr>
        <w:t xml:space="preserve">2025年，澳大利亚起征碳排放税，各方的关注让之成为了颇受争议的焦点性问题。而对各种机遇与挑战，澳洲在实验阶段终期，依然开辟了碳税的进程。与新西兰相类似，澳大利亚采取了政府补贴与成本负担相抵消的方式，缓解了各行业之间的压力竞争，间接促进了碳的不确定性调节机制和环境的间接管制。</w:t>
      </w:r>
    </w:p>
    <w:p>
      <w:pPr>
        <w:ind w:left="0" w:right="0" w:firstLine="560"/>
        <w:spacing w:before="450" w:after="450" w:line="312" w:lineRule="auto"/>
      </w:pPr>
      <w:r>
        <w:rPr>
          <w:rFonts w:ascii="宋体" w:hAnsi="宋体" w:eastAsia="宋体" w:cs="宋体"/>
          <w:color w:val="000"/>
          <w:sz w:val="28"/>
          <w:szCs w:val="28"/>
        </w:rPr>
        <w:t xml:space="preserve">在碳排放量猛增的今天，一部分国家跟随了可持续发展理念。从长远考虑，通过碳税的推行，可以逐步降低碳排放量。而中国是发展中国家，而对十分复杂的国情现状，如何将碳税跨入战略性实施行列，是我们研究碳税的方向。</w:t>
      </w:r>
    </w:p>
    <w:p>
      <w:pPr>
        <w:ind w:left="0" w:right="0" w:firstLine="560"/>
        <w:spacing w:before="450" w:after="450" w:line="312" w:lineRule="auto"/>
      </w:pPr>
      <w:r>
        <w:rPr>
          <w:rFonts w:ascii="宋体" w:hAnsi="宋体" w:eastAsia="宋体" w:cs="宋体"/>
          <w:color w:val="000"/>
          <w:sz w:val="28"/>
          <w:szCs w:val="28"/>
        </w:rPr>
        <w:t xml:space="preserve">2,聚焦中国企业</w:t>
      </w:r>
    </w:p>
    <w:p>
      <w:pPr>
        <w:ind w:left="0" w:right="0" w:firstLine="560"/>
        <w:spacing w:before="450" w:after="450" w:line="312" w:lineRule="auto"/>
      </w:pPr>
      <w:r>
        <w:rPr>
          <w:rFonts w:ascii="宋体" w:hAnsi="宋体" w:eastAsia="宋体" w:cs="宋体"/>
          <w:color w:val="000"/>
          <w:sz w:val="28"/>
          <w:szCs w:val="28"/>
        </w:rPr>
        <w:t xml:space="preserve">部分行业不是集中排放型企业，也不是外向贸易型发展模式，因此碳税的提出会对其造成一定程度的负担。而对这一争议，并综合供给与需求等主导性因素，对风险的预测以及碳税的中国特色进行研究，是主导新税制提出的关键。然而，当经济结构被有效调整到低碳排放的经济体系下时，这种有利于碳排放的技术性投资以及结构调整，就不会导致国家GDP的明显损失。在经济与环境同步发展的宏观局势之下，碳税这一渠道将引领区域性经济开始主动迈向可持续高效发展的新阶梯。</w:t>
      </w:r>
    </w:p>
    <w:p>
      <w:pPr>
        <w:ind w:left="0" w:right="0" w:firstLine="560"/>
        <w:spacing w:before="450" w:after="450" w:line="312" w:lineRule="auto"/>
      </w:pPr>
      <w:r>
        <w:rPr>
          <w:rFonts w:ascii="宋体" w:hAnsi="宋体" w:eastAsia="宋体" w:cs="宋体"/>
          <w:color w:val="000"/>
          <w:sz w:val="28"/>
          <w:szCs w:val="28"/>
        </w:rPr>
        <w:t xml:space="preserve">三、我国实行碳税的可行性</w:t>
      </w:r>
    </w:p>
    <w:p>
      <w:pPr>
        <w:ind w:left="0" w:right="0" w:firstLine="560"/>
        <w:spacing w:before="450" w:after="450" w:line="312" w:lineRule="auto"/>
      </w:pPr>
      <w:r>
        <w:rPr>
          <w:rFonts w:ascii="宋体" w:hAnsi="宋体" w:eastAsia="宋体" w:cs="宋体"/>
          <w:color w:val="000"/>
          <w:sz w:val="28"/>
          <w:szCs w:val="28"/>
        </w:rPr>
        <w:t xml:space="preserve">1、供求关系的原理</w:t>
      </w:r>
    </w:p>
    <w:p>
      <w:pPr>
        <w:ind w:left="0" w:right="0" w:firstLine="560"/>
        <w:spacing w:before="450" w:after="450" w:line="312" w:lineRule="auto"/>
      </w:pPr>
      <w:r>
        <w:rPr>
          <w:rFonts w:ascii="宋体" w:hAnsi="宋体" w:eastAsia="宋体" w:cs="宋体"/>
          <w:color w:val="000"/>
          <w:sz w:val="28"/>
          <w:szCs w:val="28"/>
        </w:rPr>
        <w:t xml:space="preserve">假设在碳税征收之前，某工厂的供给曲线和需求曲线分别为S和D。由于不向买方征税，而是向卖方征税，在任何一种既定价格下，该工厂生产出来的产品的需求量是相同的，所以需求曲线不变。由于向卖方(也就是工厂)征税，提高了生产和销售该产品的成本，因此征收烟尘排放税后，每一价格下的供应量相应减少，供给曲线向左移到S。因此，均衡价格上升，该产品的售价提高。此时，买方和卖方同时分摊税收负担。</w:t>
      </w:r>
    </w:p>
    <w:p>
      <w:pPr>
        <w:ind w:left="0" w:right="0" w:firstLine="560"/>
        <w:spacing w:before="450" w:after="450" w:line="312" w:lineRule="auto"/>
      </w:pPr>
      <w:r>
        <w:rPr>
          <w:rFonts w:ascii="宋体" w:hAnsi="宋体" w:eastAsia="宋体" w:cs="宋体"/>
          <w:color w:val="000"/>
          <w:sz w:val="28"/>
          <w:szCs w:val="28"/>
        </w:rPr>
        <w:t xml:space="preserve">假设在供给曲线不变的前提下，以水泥行业为例，当工厂提供的产品缺乏需求弹性时，征收碳税后，由于买者的需求弹性较小，分摊的税收负担更多，所要支付的价格也相应增加。水泥行业现在的产量产能严重过剩，市场处于买方市场。在相同条件下，消费者会选择购买价格较低的产品。而技术革新效果明显，达到国家减排标准和税收优惠条件的企业在价格上占据优势。相比，污染量大且产能较低的工厂将会被淘汰。在此情况下，碳税的实施有利于促进企业继续提高科研技术，加大对节能减排绿色生产的力度，以求降低成本，获得超额剩余价值。</w:t>
      </w:r>
    </w:p>
    <w:p>
      <w:pPr>
        <w:ind w:left="0" w:right="0" w:firstLine="560"/>
        <w:spacing w:before="450" w:after="450" w:line="312" w:lineRule="auto"/>
      </w:pPr>
      <w:r>
        <w:rPr>
          <w:rFonts w:ascii="宋体" w:hAnsi="宋体" w:eastAsia="宋体" w:cs="宋体"/>
          <w:color w:val="000"/>
          <w:sz w:val="28"/>
          <w:szCs w:val="28"/>
        </w:rPr>
        <w:t xml:space="preserve">2、庇古税理论</w:t>
      </w:r>
    </w:p>
    <w:p>
      <w:pPr>
        <w:ind w:left="0" w:right="0" w:firstLine="560"/>
        <w:spacing w:before="450" w:after="450" w:line="312" w:lineRule="auto"/>
      </w:pPr>
      <w:r>
        <w:rPr>
          <w:rFonts w:ascii="宋体" w:hAnsi="宋体" w:eastAsia="宋体" w:cs="宋体"/>
          <w:color w:val="000"/>
          <w:sz w:val="28"/>
          <w:szCs w:val="28"/>
        </w:rPr>
        <w:t xml:space="preserve">英国经济学家阿瑟庇古在《福利经济学》中提出，由于经济主体的目标是追求利润最大化，企业所关心的是个人净效益PNB，因此导致市场资源配置失灵的原因是经济主体的私人成本和社会成本的不一致性，从而使私人的最优导致了社会的最优。</w:t>
      </w:r>
    </w:p>
    <w:p>
      <w:pPr>
        <w:ind w:left="0" w:right="0" w:firstLine="560"/>
        <w:spacing w:before="450" w:after="450" w:line="312" w:lineRule="auto"/>
      </w:pPr>
      <w:r>
        <w:rPr>
          <w:rFonts w:ascii="宋体" w:hAnsi="宋体" w:eastAsia="宋体" w:cs="宋体"/>
          <w:color w:val="000"/>
          <w:sz w:val="28"/>
          <w:szCs w:val="28"/>
        </w:rPr>
        <w:t xml:space="preserve">根据庇古税的理论，社会边际成本SMC曲线与个人边际成本PMC曲线不重合，两者之间相差AB的距离，即外部性。</w:t>
      </w:r>
    </w:p>
    <w:p>
      <w:pPr>
        <w:ind w:left="0" w:right="0" w:firstLine="560"/>
        <w:spacing w:before="450" w:after="450" w:line="312" w:lineRule="auto"/>
      </w:pPr>
      <w:r>
        <w:rPr>
          <w:rFonts w:ascii="宋体" w:hAnsi="宋体" w:eastAsia="宋体" w:cs="宋体"/>
          <w:color w:val="000"/>
          <w:sz w:val="28"/>
          <w:szCs w:val="28"/>
        </w:rPr>
        <w:t xml:space="preserve">MR曲线与SMC曲线相交的A点所对应的P:是社会生产的出清价格，与PMC曲线相交的C点所对应的P,是私人企业生产的均衡价格。此时，当企业以P,价格出售时，供求平衡，Q:为市场需求，而Q，为私人的最佳产出，社会为私人对环境的污染承担成本。而同理，社会最优产量为QZ，社会最优产量与私人最优产量之间的差值(QrQ}就是资源的浪费。因此，通过征收环境税使外部性内部化，私人生产会根据税率的调整而调整，减少对环境的污染。当税费I=AB时，PMC曲线上移，与SMC曲线重合。此时达到新的市场平衡，使私人减少生产中对社会带来的污染，生产适合社会需求的产品。碳税的征收促使私人企业在生产时降低对环境的污染，让他们承担起应承担的责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国际竞争日趋激烈的发展型社会中，我国必须积极抢占绿色经济发展的制高点，以改变粗放型经济模式为引擎，并将城市工业化作为调整的主攻方向。碳税的提出，加之与中国特殊国情的结合，是把握我国经济脉搏的重要途径。因此，碳税的现实性分析以及可行性应用价值是对我国绿色经济调控的深度助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2026-04-29T07:33:24+08:00</dcterms:created>
  <dcterms:modified xsi:type="dcterms:W3CDTF">2026-04-29T07:33:24+08:00</dcterms:modified>
</cp:coreProperties>
</file>

<file path=docProps/custom.xml><?xml version="1.0" encoding="utf-8"?>
<Properties xmlns="http://schemas.openxmlformats.org/officeDocument/2006/custom-properties" xmlns:vt="http://schemas.openxmlformats.org/officeDocument/2006/docPropsVTypes"/>
</file>