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税收犯罪若干问题研究</w:t>
      </w:r>
      <w:bookmarkEnd w:id="1"/>
    </w:p>
    <w:p>
      <w:pPr>
        <w:jc w:val="center"/>
        <w:spacing w:before="0" w:after="450"/>
      </w:pPr>
      <w:r>
        <w:rPr>
          <w:rFonts w:ascii="Arial" w:hAnsi="Arial" w:eastAsia="Arial" w:cs="Arial"/>
          <w:color w:val="999999"/>
          <w:sz w:val="20"/>
          <w:szCs w:val="20"/>
        </w:rPr>
        <w:t xml:space="preserve">来源：网络  作者：诗酒琴音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税收犯罪若干问题研究 税收犯罪若干问题研究 税收犯罪若干问题研究  我国刑法在全面总结惩治危害税收征管犯罪的基础上，吸收了全国人民代表大会常务委员会《关于惩治偷税、抗税犯罪的补充规定》和《关于惩治虚开、伪造和非法出售增值税专用发票犯罪的决定...</w:t>
      </w:r>
    </w:p>
    <w:p>
      <w:pPr>
        <w:ind w:left="0" w:right="0" w:firstLine="560"/>
        <w:spacing w:before="450" w:after="450" w:line="312" w:lineRule="auto"/>
      </w:pPr>
      <w:r>
        <w:rPr>
          <w:rFonts w:ascii="宋体" w:hAnsi="宋体" w:eastAsia="宋体" w:cs="宋体"/>
          <w:color w:val="000"/>
          <w:sz w:val="28"/>
          <w:szCs w:val="28"/>
        </w:rPr>
        <w:t xml:space="preserve">税收犯罪若干问题研究 税收犯罪若干问题研究 税收犯罪若干问题研究</w:t>
      </w:r>
    </w:p>
    <w:p>
      <w:pPr>
        <w:ind w:left="0" w:right="0" w:firstLine="560"/>
        <w:spacing w:before="450" w:after="450" w:line="312" w:lineRule="auto"/>
      </w:pPr>
      <w:r>
        <w:rPr>
          <w:rFonts w:ascii="宋体" w:hAnsi="宋体" w:eastAsia="宋体" w:cs="宋体"/>
          <w:color w:val="000"/>
          <w:sz w:val="28"/>
          <w:szCs w:val="28"/>
        </w:rPr>
        <w:t xml:space="preserve">我国刑法在全面总结惩治危害税收征管犯罪的基础上，吸收了全国人民代表大会常务委员会《关于惩治偷税、抗税犯罪的补充规定》和《关于惩治虚开、伪造和非法出售增值税专用发票犯罪的决定》的有关内容，在第3章破坏社会主义市场经济犯罪的第6节规定了危害税收征管罪，对原刑法规范进行了进一步修改补充，细化了有关内容，增加了可操作性，对于打击税收犯罪提供了有力的法律武器，起到了积极作用，但实践中仍存有不少问题，现就偷税和抗税罪中有关争议问题谈一点个人看法。</w:t>
      </w:r>
    </w:p>
    <w:p>
      <w:pPr>
        <w:ind w:left="0" w:right="0" w:firstLine="560"/>
        <w:spacing w:before="450" w:after="450" w:line="312" w:lineRule="auto"/>
      </w:pPr>
      <w:r>
        <w:rPr>
          <w:rFonts w:ascii="宋体" w:hAnsi="宋体" w:eastAsia="宋体" w:cs="宋体"/>
          <w:color w:val="000"/>
          <w:sz w:val="28"/>
          <w:szCs w:val="28"/>
        </w:rPr>
        <w:t xml:space="preserve">一、关于偷税罪的有关问题</w:t>
      </w:r>
    </w:p>
    <w:p>
      <w:pPr>
        <w:ind w:left="0" w:right="0" w:firstLine="560"/>
        <w:spacing w:before="450" w:after="450" w:line="312" w:lineRule="auto"/>
      </w:pPr>
      <w:r>
        <w:rPr>
          <w:rFonts w:ascii="宋体" w:hAnsi="宋体" w:eastAsia="宋体" w:cs="宋体"/>
          <w:color w:val="000"/>
          <w:sz w:val="28"/>
          <w:szCs w:val="28"/>
        </w:rPr>
        <w:t xml:space="preserve">偷税罪是指纳税人采取伪造、变造、隐匿、擅自销毁帐薄、记帐凭证，在帐薄上多列支出或者不列、少列收入，经税务机关通知申报而拒不申报或进行虚假的纳税申报的手段，不缴或者少缴应纳税款，数额达到法定额度标准或者因偷税已受过二次行政处罚又偷税的行为。偷税罪是税收犯罪中最常见的一种犯罪。该罪侵犯的客体是国家的税收征管制度；客观方面表现为违犯国家税收征管法律法规，采取欺骗、隐瞒等各种虚假手段，不缴或少缴应纳税款或已扣、已缴税款，情节严重的行为；本罪为特殊主体，即纳税人和扣缴义务人；主观方面表现为直接故意，且具有逃避纳税义务，谋取非法经济利益的目的。该罪争议问题主要有：</w:t>
      </w:r>
    </w:p>
    <w:p>
      <w:pPr>
        <w:ind w:left="0" w:right="0" w:firstLine="560"/>
        <w:spacing w:before="450" w:after="450" w:line="312" w:lineRule="auto"/>
      </w:pPr>
      <w:r>
        <w:rPr>
          <w:rFonts w:ascii="宋体" w:hAnsi="宋体" w:eastAsia="宋体" w:cs="宋体"/>
          <w:color w:val="000"/>
          <w:sz w:val="28"/>
          <w:szCs w:val="28"/>
        </w:rPr>
        <w:t xml:space="preserve">1、两类犯罪主体构成犯罪的标准问题。</w:t>
      </w:r>
    </w:p>
    <w:p>
      <w:pPr>
        <w:ind w:left="0" w:right="0" w:firstLine="560"/>
        <w:spacing w:before="450" w:after="450" w:line="312" w:lineRule="auto"/>
      </w:pPr>
      <w:r>
        <w:rPr>
          <w:rFonts w:ascii="宋体" w:hAnsi="宋体" w:eastAsia="宋体" w:cs="宋体"/>
          <w:color w:val="000"/>
          <w:sz w:val="28"/>
          <w:szCs w:val="28"/>
        </w:rPr>
        <w:t xml:space="preserve">2、一般偷税行为与偷税罪的界限</w:t>
      </w:r>
    </w:p>
    <w:p>
      <w:pPr>
        <w:ind w:left="0" w:right="0" w:firstLine="560"/>
        <w:spacing w:before="450" w:after="450" w:line="312" w:lineRule="auto"/>
      </w:pPr>
      <w:r>
        <w:rPr>
          <w:rFonts w:ascii="宋体" w:hAnsi="宋体" w:eastAsia="宋体" w:cs="宋体"/>
          <w:color w:val="000"/>
          <w:sz w:val="28"/>
          <w:szCs w:val="28"/>
        </w:rPr>
        <w:t xml:space="preserve">区分偷税罪和一般偷税行为的标准，是看其偷税行为是否达到情节严重的程度。如果行为人偷税数额既未达到一万元以上并占应纳税额的10%以上，也不是因已被税务机关给予两次行政处罚又偷税的，其行为只属于一般偷税行为，不能以犯罪论处。</w:t>
      </w:r>
    </w:p>
    <w:p>
      <w:pPr>
        <w:ind w:left="0" w:right="0" w:firstLine="560"/>
        <w:spacing w:before="450" w:after="450" w:line="312" w:lineRule="auto"/>
      </w:pPr>
      <w:r>
        <w:rPr>
          <w:rFonts w:ascii="宋体" w:hAnsi="宋体" w:eastAsia="宋体" w:cs="宋体"/>
          <w:color w:val="000"/>
          <w:sz w:val="28"/>
          <w:szCs w:val="28"/>
        </w:rPr>
        <w:t xml:space="preserve">目前，在实践中对“两次处罚”后的偷税数额有不同的理解。有人认为：“两次处罚”后的偷税数额，只有达到构成偷税罪的数额比例要求，才能定罪处罚；有人认为：“两次处罚”的数额与又偷税的数额总和达到构成偷税罪的数额的比例要求，才构成偷税罪。上述两种均有偏颇，前一种观点忽略了被两次处罚这个犯罪构成的客观要件，仅把它作为一个量刑情节，后一观点则混淆了行政处罚和刑事处罚的本质区别，有悖于立法意图。我认为：法律之所以规定因偷税受过二次行政处罚又偷税的构成犯罪，主要是针对司法实践中有些纳税人小额偷税不断，屡罚屡偷，但每次达不到法定标准，以逃避法律制裁，钻法律空子的现象。这是对“数额加比例”标准的补充。因此，在同时符合上述两个选择性标准的情况下，应以“数额加比例”标准定罪，而且以前被两次行政处罚的情况应作为量刑情节予以考虑。如果又偷税的数额虽未达到偷税罪的数额比例标准，但符合税务机关对行为人偷税进行行政处罚的数额比例规定，则应依照上述补充规定对追究行为人偷税罪的刑事责任。如果又偷税的数额比例达不到税务机关对其进行行政处罚的数额比例标准，则应理解为情节显著轻微，危害不大，不以犯罪论处。</w:t>
      </w:r>
    </w:p>
    <w:p>
      <w:pPr>
        <w:ind w:left="0" w:right="0" w:firstLine="560"/>
        <w:spacing w:before="450" w:after="450" w:line="312" w:lineRule="auto"/>
      </w:pPr>
      <w:r>
        <w:rPr>
          <w:rFonts w:ascii="宋体" w:hAnsi="宋体" w:eastAsia="宋体" w:cs="宋体"/>
          <w:color w:val="000"/>
          <w:sz w:val="28"/>
          <w:szCs w:val="28"/>
        </w:rPr>
        <w:t xml:space="preserve">3、偷税罪与避税行为的界限问题</w:t>
      </w:r>
    </w:p>
    <w:p>
      <w:pPr>
        <w:ind w:left="0" w:right="0" w:firstLine="560"/>
        <w:spacing w:before="450" w:after="450" w:line="312" w:lineRule="auto"/>
      </w:pPr>
      <w:r>
        <w:rPr>
          <w:rFonts w:ascii="宋体" w:hAnsi="宋体" w:eastAsia="宋体" w:cs="宋体"/>
          <w:color w:val="000"/>
          <w:sz w:val="28"/>
          <w:szCs w:val="28"/>
        </w:rPr>
        <w:t xml:space="preserve">避税亦称节税，是指纳税人利用合法手段和方式，通过资金转移、费用转移、成本转移、利润转移以及企业性质转移等方法躲避纳税义务的行为[1].</w:t>
      </w:r>
    </w:p>
    <w:p>
      <w:pPr>
        <w:ind w:left="0" w:right="0" w:firstLine="560"/>
        <w:spacing w:before="450" w:after="450" w:line="312" w:lineRule="auto"/>
      </w:pPr>
      <w:r>
        <w:rPr>
          <w:rFonts w:ascii="宋体" w:hAnsi="宋体" w:eastAsia="宋体" w:cs="宋体"/>
          <w:color w:val="000"/>
          <w:sz w:val="28"/>
          <w:szCs w:val="28"/>
        </w:rPr>
        <w:t xml:space="preserve">关于避税的法律性质目前主要有两种观点：一种认为，避税一般采用合法手段和方法不缴或少缴税款，因此，在法律性质上，避税属于合法行为。尽管其在经济后果上同偷税一样，给国家造成经济损失，但因不具备犯罪构成要件，最终不能以法律处罚，甚至也不能进行行政处罚。唯一的方法就是加强和完善税收立法，堵塞避税漏洞[2].另一种观点认为：避税有合法与非法之分，非法避税属偷税性质，达到偷税标准的，以偷税罪论处[3].</w:t>
      </w:r>
    </w:p>
    <w:p>
      <w:pPr>
        <w:ind w:left="0" w:right="0" w:firstLine="560"/>
        <w:spacing w:before="450" w:after="450" w:line="312" w:lineRule="auto"/>
      </w:pPr>
      <w:r>
        <w:rPr>
          <w:rFonts w:ascii="宋体" w:hAnsi="宋体" w:eastAsia="宋体" w:cs="宋体"/>
          <w:color w:val="000"/>
          <w:sz w:val="28"/>
          <w:szCs w:val="28"/>
        </w:rPr>
        <w:t xml:space="preserve">我赞成第一种观点，因为尽管偷税和避税主观上都具有逃避税收的故意，都有少缴或不缴税款的行为，但两者最大区别就在于偷税是采用违法手段，而避税的手段是合法的。如果把利用税法的不完善而不缴或少缴税款的行为看成是非法的话，无疑就无所谓避税的存在。另外，从罪行法定的原则看，既然刑法没有把避税作为法定罪行对待，我们就不能认为其行为为犯罪行为，只属于在现行法律下的规避行为。对于避税，只能通过完善税法来解决。</w:t>
      </w:r>
    </w:p>
    <w:p>
      <w:pPr>
        <w:ind w:left="0" w:right="0" w:firstLine="560"/>
        <w:spacing w:before="450" w:after="450" w:line="312" w:lineRule="auto"/>
      </w:pPr>
      <w:r>
        <w:rPr>
          <w:rFonts w:ascii="宋体" w:hAnsi="宋体" w:eastAsia="宋体" w:cs="宋体"/>
          <w:color w:val="000"/>
          <w:sz w:val="28"/>
          <w:szCs w:val="28"/>
        </w:rPr>
        <w:t xml:space="preserve">二、关于抗税罪的有关问题</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[1]黄河、张相军、黄芳、邹绯箭：《危害税收征管罪的认定与处理》，中国检察出版社1998年版，第48页。</w:t>
      </w:r>
    </w:p>
    <w:p>
      <w:pPr>
        <w:ind w:left="0" w:right="0" w:firstLine="560"/>
        <w:spacing w:before="450" w:after="450" w:line="312" w:lineRule="auto"/>
      </w:pPr>
      <w:r>
        <w:rPr>
          <w:rFonts w:ascii="宋体" w:hAnsi="宋体" w:eastAsia="宋体" w:cs="宋体"/>
          <w:color w:val="000"/>
          <w:sz w:val="28"/>
          <w:szCs w:val="28"/>
        </w:rPr>
        <w:t xml:space="preserve">[4]]李伟：《税法学》，法律出版社2025年版，第300页。</w:t>
      </w:r>
    </w:p>
    <w:p>
      <w:pPr>
        <w:ind w:left="0" w:right="0" w:firstLine="560"/>
        <w:spacing w:before="450" w:after="450" w:line="312" w:lineRule="auto"/>
      </w:pPr>
      <w:r>
        <w:rPr>
          <w:rFonts w:ascii="宋体" w:hAnsi="宋体" w:eastAsia="宋体" w:cs="宋体"/>
          <w:color w:val="000"/>
          <w:sz w:val="28"/>
          <w:szCs w:val="28"/>
        </w:rPr>
        <w:t xml:space="preserve">[5]刘剑文主编：《税法学》，人民出版社2025年版，第500页。</w:t>
      </w:r>
    </w:p>
    <w:p>
      <w:pPr>
        <w:ind w:left="0" w:right="0" w:firstLine="560"/>
        <w:spacing w:before="450" w:after="450" w:line="312" w:lineRule="auto"/>
      </w:pPr>
      <w:r>
        <w:rPr>
          <w:rFonts w:ascii="宋体" w:hAnsi="宋体" w:eastAsia="宋体" w:cs="宋体"/>
          <w:color w:val="000"/>
          <w:sz w:val="28"/>
          <w:szCs w:val="28"/>
        </w:rPr>
        <w:t xml:space="preserve">[7]刘岩主编：《刑法适用新论》，中国政法大学出版社1993 年版，第98页。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2026-04-29T11:05:34+08:00</dcterms:created>
  <dcterms:modified xsi:type="dcterms:W3CDTF">2026-04-29T11:05:34+08:00</dcterms:modified>
</cp:coreProperties>
</file>

<file path=docProps/custom.xml><?xml version="1.0" encoding="utf-8"?>
<Properties xmlns="http://schemas.openxmlformats.org/officeDocument/2006/custom-properties" xmlns:vt="http://schemas.openxmlformats.org/officeDocument/2006/docPropsVTypes"/>
</file>