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作者：星月相依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w:t>
      </w:r>
    </w:p>
    <w:p>
      <w:pPr>
        <w:ind w:left="0" w:right="0" w:firstLine="560"/>
        <w:spacing w:before="450" w:after="450" w:line="312" w:lineRule="auto"/>
      </w:pPr>
      <w:r>
        <w:rPr>
          <w:rFonts w:ascii="宋体" w:hAnsi="宋体" w:eastAsia="宋体" w:cs="宋体"/>
          <w:color w:val="000"/>
          <w:sz w:val="28"/>
          <w:szCs w:val="28"/>
        </w:rPr>
        <w:t xml:space="preserve">\" 我国加入WTO后，入世的挑战不仅是对行业、企业，更是对政府管理方式、管理能力的挑战。WTO对政府最深刻的影响，一是促使我们更快地走向法治化；二是促使我们更快地实行政企分开、变直接管理为间接调控。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一是重视组织机构与财政干部队伍的建设。各级财政部门在机构改革中，要重视机构上下对口、企业管理职能统一和干部队伍建设问题。二是重视理论探索和调查研究。因为没有理论探索或没有调查研究是难以制定符合客观经济规律的有指导意义的企业国有资产与财务管理制度的。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四是重视研究制定国有资产经营预算制度。编制国有资本金预算，能够全面反映国有资产经营收支状况，是市场经济条件下实现所有者职能、确保出资人到位基本手段。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六是重视研究制定解决企业重组改制剥离办法中社会职能问题和分流安置问题的财政政策、财务制度和办法。如对被剥离企业、改制存续企业如何补贴及其补贴标准、时限和资金来源如何确定问题、职工的买断工龄问题。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7.要正确处理企业国有资产与财务的财政统一管理工作与财政间接调控经济的关系。社会主义财政的基本职能之一就是宏观调控。从建立公共财政的发展趋势来看，企业国有资产与财务的财政统一管理工\" 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2026-06-19T09:20:01+08:00</dcterms:created>
  <dcterms:modified xsi:type="dcterms:W3CDTF">2026-06-19T09:20:01+08:00</dcterms:modified>
</cp:coreProperties>
</file>

<file path=docProps/custom.xml><?xml version="1.0" encoding="utf-8"?>
<Properties xmlns="http://schemas.openxmlformats.org/officeDocument/2006/custom-properties" xmlns:vt="http://schemas.openxmlformats.org/officeDocument/2006/docPropsVTypes"/>
</file>