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(三国)蜀汉政权建立后的开疆拓土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后,曹操不敢再轻易南下,鼎立格局初步奠定。刘备图蜀成功,并据有汉中。建安二十六年(221),刘备昭告皇天后士,即位于成都,建国曰汉,史称蜀汉,疆土辖有汉中、巴、蜀。纵观蜀汉历史,它是一段刘氏政权忙于征伐,忙于开拓的历史。蜀汉统治者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后,曹操不敢再轻易南下,鼎立格局初步奠定。刘备图蜀成功,并据有汉中。建安二十六年(221),刘备昭告皇天后士,即位于成都,建国曰汉,史称蜀汉,疆土辖有汉中、巴、蜀。纵观蜀汉历史,它是一段刘氏政权忙于征伐,忙于开拓的历史。蜀汉统治者孜孜不倦地征伐天下,开辟疆土,把蜀汉疆域拓展到北入今甘肃境内,南达今云南边境,东边维持在今奉节一带,西边伸入今缅甸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