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(三国)公元220年 曹丕称帝代汉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后，曹操被迫退回北方，统一全国的希望成了泡影，孙权的江东政权更加稳固，刘备也以荆州为跳板进取益州。这时，“吴有长江之险，蜀有崇山之阻”，于是，天下三分之势已成定局。此后，曹操把防线撤到襄阳一线，专心经略西北。刘备跨有荆、益两州，又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后，曹操被迫退回北方，统一全国的希望成了泡影，孙权的江东政权更加稳固，刘备也以荆州为跳板进取益州。这时，“吴有长江之险，蜀有崇山之阻”，于是，天下三分之势已成定局。此后，曹操把防线撤到襄阳一线，专心经略西北。刘备跨有荆、益两州，又从曹操处夺得汉中，至此势力发展到了顶峰。赤壁战后，孙权招抚了交、广两州，平定了岭南；在曹操的挑拨下，袭取了荆州，占据了长江中下游全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