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乾隆明知和珅贪腐，为何仍纵容其专权二十四年？</w:t>
      </w:r>
      <w:bookmarkEnd w:id="1"/>
    </w:p>
    <w:p>
      <w:pPr>
        <w:jc w:val="center"/>
        <w:spacing w:before="0" w:after="450"/>
      </w:pPr>
      <w:r>
        <w:rPr>
          <w:rFonts w:ascii="Arial" w:hAnsi="Arial" w:eastAsia="Arial" w:cs="Arial"/>
          <w:color w:val="999999"/>
          <w:sz w:val="20"/>
          <w:szCs w:val="20"/>
        </w:rPr>
        <w:t xml:space="preserve">来源：网络  作者：雨后彩虹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乾隆四十年（1775年），年仅25岁的和珅从三等轻车都尉骤升为乾清门御前侍卫，这一跨越式晋升的背后，是乾隆皇帝对这位满洲正红旗青年的特殊关注。历史档案显示，和珅不仅精通满、蒙、汉、藏四门语言，更在廓尔喀入侵西藏时成为唯一能与乾隆用四种语...</w:t>
      </w:r>
    </w:p>
    <w:p>
      <w:pPr>
        <w:ind w:left="0" w:right="0" w:firstLine="560"/>
        <w:spacing w:before="450" w:after="450" w:line="312" w:lineRule="auto"/>
      </w:pPr>
      <w:r>
        <w:rPr>
          <w:rFonts w:ascii="宋体" w:hAnsi="宋体" w:eastAsia="宋体" w:cs="宋体"/>
          <w:color w:val="000"/>
          <w:sz w:val="28"/>
          <w:szCs w:val="28"/>
        </w:rPr>
        <w:t xml:space="preserve">　　乾隆四十年（1775年），年仅25岁的和珅从三等轻车都尉骤升为乾清门御前侍卫，这一跨越式晋升的背后，是乾隆皇帝对这位满洲正红旗青年的特殊关注。历史档案显示，和珅不仅精通满、蒙、汉、藏四门语言，更在廓尔喀入侵西藏时成为唯一能与乾隆用四种语言顺畅沟通的臣子。但真正让和珅从侍卫跻身权力核心的，是他精准把握了乾隆晚年执政的深层需求。</w:t>
      </w:r>
    </w:p>
    <w:p>
      <w:pPr>
        <w:ind w:left="0" w:right="0" w:firstLine="560"/>
        <w:spacing w:before="450" w:after="450" w:line="312" w:lineRule="auto"/>
      </w:pPr>
      <w:r>
        <w:rPr>
          <w:rFonts w:ascii="宋体" w:hAnsi="宋体" w:eastAsia="宋体" w:cs="宋体"/>
          <w:color w:val="000"/>
          <w:sz w:val="28"/>
          <w:szCs w:val="28"/>
        </w:rPr>
        <w:t xml:space="preserve">　　一、财政困局下的“理财能手”</w:t>
      </w:r>
    </w:p>
    <w:p>
      <w:pPr>
        <w:ind w:left="0" w:right="0" w:firstLine="560"/>
        <w:spacing w:before="450" w:after="450" w:line="312" w:lineRule="auto"/>
      </w:pPr>
      <w:r>
        <w:rPr>
          <w:rFonts w:ascii="宋体" w:hAnsi="宋体" w:eastAsia="宋体" w:cs="宋体"/>
          <w:color w:val="000"/>
          <w:sz w:val="28"/>
          <w:szCs w:val="28"/>
        </w:rPr>
        <w:t xml:space="preserve">　　乾隆后期，内务府年支出从100万两激增至400万两，六次南巡耗银超2000万两，修建宁寿宫及乾隆花园又花费140万两。当户部以“国库空虚”为由拒绝拨款时，和珅创造性地推出“议罪银”制度：官员可通过缴纳银两抵消罪责，所得直接进入内务府。档案记载，两淮盐商曾一次性捐银400万两，三品以上官员的“罚款”更成为常态。</w:t>
      </w:r>
    </w:p>
    <w:p>
      <w:pPr>
        <w:ind w:left="0" w:right="0" w:firstLine="560"/>
        <w:spacing w:before="450" w:after="450" w:line="312" w:lineRule="auto"/>
      </w:pPr>
      <w:r>
        <w:rPr>
          <w:rFonts w:ascii="宋体" w:hAnsi="宋体" w:eastAsia="宋体" w:cs="宋体"/>
          <w:color w:val="000"/>
          <w:sz w:val="28"/>
          <w:szCs w:val="28"/>
        </w:rPr>
        <w:t xml:space="preserve">　　这种饮鸩止渴的财政手段，使内务府从入不敷出转为年盈余80万两。乾隆在《御制诗集》中直言：“和珅办事，能解朕忧。”当尹壮图上奏反对“议罪银”遭乾隆严惩时，暴露出皇帝对这种灰色财政的深度依赖。和珅的贪腐行为在此语境下，被包装成维系帝国运转的“必要之恶”。</w:t>
      </w:r>
    </w:p>
    <w:p>
      <w:pPr>
        <w:ind w:left="0" w:right="0" w:firstLine="560"/>
        <w:spacing w:before="450" w:after="450" w:line="312" w:lineRule="auto"/>
      </w:pPr>
      <w:r>
        <w:rPr>
          <w:rFonts w:ascii="宋体" w:hAnsi="宋体" w:eastAsia="宋体" w:cs="宋体"/>
          <w:color w:val="000"/>
          <w:sz w:val="28"/>
          <w:szCs w:val="28"/>
        </w:rPr>
        <w:t xml:space="preserve">　　二、权力制衡中的“孤臣”价值</w:t>
      </w:r>
    </w:p>
    <w:p>
      <w:pPr>
        <w:ind w:left="0" w:right="0" w:firstLine="560"/>
        <w:spacing w:before="450" w:after="450" w:line="312" w:lineRule="auto"/>
      </w:pPr>
      <w:r>
        <w:rPr>
          <w:rFonts w:ascii="宋体" w:hAnsi="宋体" w:eastAsia="宋体" w:cs="宋体"/>
          <w:color w:val="000"/>
          <w:sz w:val="28"/>
          <w:szCs w:val="28"/>
        </w:rPr>
        <w:t xml:space="preserve">　　乾隆四十六年（1781年），甘肃监生冒赈案爆发，涉案官员达200余人。当监察御史钱沣弹劾和珅结党时，乾隆却将弹劾奏折留中不发。这种反常举动源于乾隆对权力结构的精密设计：和珅既不属于八旗宗室，也非传统官僚，其贪腐行为反而成为制衡两大势力的工具。</w:t>
      </w:r>
    </w:p>
    <w:p>
      <w:pPr>
        <w:ind w:left="0" w:right="0" w:firstLine="560"/>
        <w:spacing w:before="450" w:after="450" w:line="312" w:lineRule="auto"/>
      </w:pPr>
      <w:r>
        <w:rPr>
          <w:rFonts w:ascii="宋体" w:hAnsi="宋体" w:eastAsia="宋体" w:cs="宋体"/>
          <w:color w:val="000"/>
          <w:sz w:val="28"/>
          <w:szCs w:val="28"/>
        </w:rPr>
        <w:t xml:space="preserve">　　档案显示，和珅任军机处领班期间，刻意提拔非科举出身的官员，形成“和党”与“清流派”的对立。这种二元结构使乾隆成为唯一仲裁者，确保皇权不受任何集团威胁。当阿桂等将领质疑和珅军事能力时，乾隆仍坚持让其统率20万大军征讨廓尔喀，正是利用其“孤臣”属性打破八旗将领的垄断。</w:t>
      </w:r>
    </w:p>
    <w:p>
      <w:pPr>
        <w:ind w:left="0" w:right="0" w:firstLine="560"/>
        <w:spacing w:before="450" w:after="450" w:line="312" w:lineRule="auto"/>
      </w:pPr>
      <w:r>
        <w:rPr>
          <w:rFonts w:ascii="宋体" w:hAnsi="宋体" w:eastAsia="宋体" w:cs="宋体"/>
          <w:color w:val="000"/>
          <w:sz w:val="28"/>
          <w:szCs w:val="28"/>
        </w:rPr>
        <w:t xml:space="preserve">　　三、情感投射下的“转世替身”</w:t>
      </w:r>
    </w:p>
    <w:p>
      <w:pPr>
        <w:ind w:left="0" w:right="0" w:firstLine="560"/>
        <w:spacing w:before="450" w:after="450" w:line="312" w:lineRule="auto"/>
      </w:pPr>
      <w:r>
        <w:rPr>
          <w:rFonts w:ascii="宋体" w:hAnsi="宋体" w:eastAsia="宋体" w:cs="宋体"/>
          <w:color w:val="000"/>
          <w:sz w:val="28"/>
          <w:szCs w:val="28"/>
        </w:rPr>
        <w:t xml:space="preserve">　　朝鲜《李朝实录》记载了一个隐秘细节：乾隆在月华门目睹宠妃马佳氏被勒死后，曾咬破手指在其颈间留下血痣，并立誓“来世以红痣相认”。四十年后，当乾隆在宫中见到额有红痣的和珅时，立即将其从轻车都尉擢升为御前侍卫。这种近乎迷信的情感投射，使和珅获得超越常规的宠信。</w:t>
      </w:r>
    </w:p>
    <w:p>
      <w:pPr>
        <w:ind w:left="0" w:right="0" w:firstLine="560"/>
        <w:spacing w:before="450" w:after="450" w:line="312" w:lineRule="auto"/>
      </w:pPr>
      <w:r>
        <w:rPr>
          <w:rFonts w:ascii="宋体" w:hAnsi="宋体" w:eastAsia="宋体" w:cs="宋体"/>
          <w:color w:val="000"/>
          <w:sz w:val="28"/>
          <w:szCs w:val="28"/>
        </w:rPr>
        <w:t xml:space="preserve">　　乾隆六十年（1795年），85岁的皇帝将和珅召至养心殿，特赐其代述训政谕旨的特权。此时的和珅已身兼文华殿大学士、领侍卫内大臣等26个要职，但每日仍亲自为乾隆捧痰盂、尝药膳。这种主仆关系的畸形发展，使和珅成为乾隆晚年精神世界的具象化存在。</w:t>
      </w:r>
    </w:p>
    <w:p>
      <w:pPr>
        <w:ind w:left="0" w:right="0" w:firstLine="560"/>
        <w:spacing w:before="450" w:after="450" w:line="312" w:lineRule="auto"/>
      </w:pPr>
      <w:r>
        <w:rPr>
          <w:rFonts w:ascii="宋体" w:hAnsi="宋体" w:eastAsia="宋体" w:cs="宋体"/>
          <w:color w:val="000"/>
          <w:sz w:val="28"/>
          <w:szCs w:val="28"/>
        </w:rPr>
        <w:t xml:space="preserve">　　四、权力交接的“安全阀”设计</w:t>
      </w:r>
    </w:p>
    <w:p>
      <w:pPr>
        <w:ind w:left="0" w:right="0" w:firstLine="560"/>
        <w:spacing w:before="450" w:after="450" w:line="312" w:lineRule="auto"/>
      </w:pPr>
      <w:r>
        <w:rPr>
          <w:rFonts w:ascii="宋体" w:hAnsi="宋体" w:eastAsia="宋体" w:cs="宋体"/>
          <w:color w:val="000"/>
          <w:sz w:val="28"/>
          <w:szCs w:val="28"/>
        </w:rPr>
        <w:t xml:space="preserve">　　嘉庆元年（1796年）正月初四，乾隆退位为太上皇的次日，和珅即被任命为首席军机大臣。这种安排实为乾隆设计的权力过渡机制：通过和珅的专权，既防止嘉庆过早集权引发动荡，又为新君树立清算对象。当嘉庆在《起居注》中抱怨“和珅柄政，诸事掣肘”时，乾隆却密谕：“留彼性命，待朕身后处置。”</w:t>
      </w:r>
    </w:p>
    <w:p>
      <w:pPr>
        <w:ind w:left="0" w:right="0" w:firstLine="560"/>
        <w:spacing w:before="450" w:after="450" w:line="312" w:lineRule="auto"/>
      </w:pPr>
      <w:r>
        <w:rPr>
          <w:rFonts w:ascii="宋体" w:hAnsi="宋体" w:eastAsia="宋体" w:cs="宋体"/>
          <w:color w:val="000"/>
          <w:sz w:val="28"/>
          <w:szCs w:val="28"/>
        </w:rPr>
        <w:t xml:space="preserve">　　这种政治设计在乾隆驾崩后立即显现效果：嘉庆四年（1799年）正月十八日，和珅被赐自尽，其家产充公后，国库银两从2700万两增至7000万两。乾隆通过二十年的纵容，既维系了晚年统治的稳定，又为继任者积累了政治资本，完成了一场精心策划的权力交接。</w:t>
      </w:r>
    </w:p>
    <w:p>
      <w:pPr>
        <w:ind w:left="0" w:right="0" w:firstLine="560"/>
        <w:spacing w:before="450" w:after="450" w:line="312" w:lineRule="auto"/>
      </w:pPr>
      <w:r>
        <w:rPr>
          <w:rFonts w:ascii="宋体" w:hAnsi="宋体" w:eastAsia="宋体" w:cs="宋体"/>
          <w:color w:val="000"/>
          <w:sz w:val="28"/>
          <w:szCs w:val="28"/>
        </w:rPr>
        <w:t xml:space="preserve">　　五、历史评价的复杂性</w:t>
      </w:r>
    </w:p>
    <w:p>
      <w:pPr>
        <w:ind w:left="0" w:right="0" w:firstLine="560"/>
        <w:spacing w:before="450" w:after="450" w:line="312" w:lineRule="auto"/>
      </w:pPr>
      <w:r>
        <w:rPr>
          <w:rFonts w:ascii="宋体" w:hAnsi="宋体" w:eastAsia="宋体" w:cs="宋体"/>
          <w:color w:val="000"/>
          <w:sz w:val="28"/>
          <w:szCs w:val="28"/>
        </w:rPr>
        <w:t xml:space="preserve">　　《清史稿》作者赵尔巽曾评：“和珅之得宠，非仅佞幸也。”当我们将视线从道德批判转向制度分析，会发现和珅现象是乾隆晚年集权政治的必然产物。他既是帝国财政危机的解药，也是权力制衡的工具，更是情感投射的载体。这种多重身份的叠加，使其成为研究清代专制皇权运作的典型样本。</w:t>
      </w:r>
    </w:p>
    <w:p>
      <w:pPr>
        <w:ind w:left="0" w:right="0" w:firstLine="560"/>
        <w:spacing w:before="450" w:after="450" w:line="312" w:lineRule="auto"/>
      </w:pPr>
      <w:r>
        <w:rPr>
          <w:rFonts w:ascii="宋体" w:hAnsi="宋体" w:eastAsia="宋体" w:cs="宋体"/>
          <w:color w:val="000"/>
          <w:sz w:val="28"/>
          <w:szCs w:val="28"/>
        </w:rPr>
        <w:t xml:space="preserve">　　嘉庆帝在处决和珅后，曾下令销毁所有“议罪银”档案，但《清实录》仍保留了乾隆对和珅的23次褒奖记录。这种矛盾的历史书写，恰恰印证了和珅在乾隆政治体系中的不可替代性。当我们在故宫崇敬殿看到那块据考证由和珅代笔的御制诗匾时，看到的不仅是一个贪官的书法造诣，更是一个帝国暮年权力游戏的残酷逻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2026-10-01T08:52:04+08:00</dcterms:created>
  <dcterms:modified xsi:type="dcterms:W3CDTF">2026-10-01T08:52:04+08:00</dcterms:modified>
</cp:coreProperties>
</file>

<file path=docProps/custom.xml><?xml version="1.0" encoding="utf-8"?>
<Properties xmlns="http://schemas.openxmlformats.org/officeDocument/2006/custom-properties" xmlns:vt="http://schemas.openxmlformats.org/officeDocument/2006/docPropsVTypes"/>
</file>