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清·龚自珍《对策》：“进身之始;言不由衷。”　　释义：意思是话不是打心眼里说出来的，即说的不是真心话，指心口不一致。　　【言不由衷的历史故事】　　春秋时期，周王室衰弱，周天子不再受到诸侯的重视。郑庄公成为周平王的卿士后，执掌着朝中大权，...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清·龚自珍《对策》：“进身之始;言不由衷。”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释义：意思是话不是打心眼里说出来的，即说的不是真心话，指心口不一致。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【言不由衷的历史故事】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弱，周天子不再受到诸侯的重视。郑庄公成为周平王的卿士后，执掌着朝中大权，他对平王就很不尊重。周平王有好些事情，不得不交给同时也在朝里做官的西虢公去处理。郑庄公因此对周平王很不满意，认为平王是有意要让西虢公代替自己处理朝政。周平王向郑庄公解释说他没有这样的意思，为了进一步消除隔阂，双方决定互换人质，以示信任。于是，周平王的儿子狐去郑国为质，而郑国的公子忽也到周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年(公元前720年)三月，周平王去世了，平王的孙子姬林继承王位，史称周桓王。周桓王即位，也想委政于西虢公。郑庄公非常生气，就在这年四月，派大夫祭仲率领兵马到周王畿内的温邑(今河南温县南)，把已经成熟的麦子全都割走了，并全部运送到郑国。秋天，祭仲又带兵到周王畿内的成周(今河南洛阳东)，把那里成熟的谷物也全部割跑，运回郑国。从此，周郑两国之间的关系越来越糟糕，彼此间结下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正直的史官在评论这件事时指出：“信不由中，质无益也。明恕而行，要之以礼，虽无有质，谁能间之。”(《左传·隐公三年》杨伯峻注：“人言为信，中同衷。”)这段话的意思是说，不是从内心里说出来的真话，即使交换人质也是没有信用的。如果相互间能坦荡、真诚，而且都能用礼仪来约束自己，即使没有人质，谁又能离间得了相互间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