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对于巡察重检工作情况总结</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对于巡察重检工作情况总结一南漪湖的鱼儿鸟儿都回来了“风回云断雨初晴，返照湖边暖复明。乱点碎红山杏发，平铺新绿水蘋生。”这是唐代诗人白居易笔下的安徽省郎溪县南漪湖的美景。然而，几年前，受暴利驱使，南漪湖及其周边流域非法采砂现象屡禁不止，机器轰...</w:t>
      </w:r>
    </w:p>
    <w:p>
      <w:pPr>
        <w:ind w:left="0" w:right="0" w:firstLine="560"/>
        <w:spacing w:before="450" w:after="450" w:line="312" w:lineRule="auto"/>
      </w:pPr>
      <w:r>
        <w:rPr>
          <w:rFonts w:ascii="黑体" w:hAnsi="黑体" w:eastAsia="黑体" w:cs="黑体"/>
          <w:color w:val="000000"/>
          <w:sz w:val="36"/>
          <w:szCs w:val="36"/>
          <w:b w:val="1"/>
          <w:bCs w:val="1"/>
        </w:rPr>
        <w:t xml:space="preserve">对于巡察重检工作情况总结一</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20_年春天一个上午，村民带着巡察干部来到南漪湖岸边。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绿水青山就是金山银山，非法采砂造成安全隐患、破坏生态环境、损害群众利益，严重违背党中央决策部署，必须坚决打击。可是，为何持续非法采砂，却没有部门来制止?这里面是否存在利益输送和“保护伞”问题?</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_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_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巡察组通过深入了解，获悉石坑村饮水工程项目属于20_年扶贫项目，总投资32万元，受益范围覆盖龙潭组、蛇形组农户，但该项目只设计了主管道，未设计入户管网。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_年底结余20多万元，这两年办了不少实事。”……20_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_年初，村支书、村主任、村会计因骗取国家粮食直补、套取危房改造资金被“一锅端”，其他村干部也无心干事，群众戏称“只做自家事、不管公家差”。东园村发展陷入恶性循环，20_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_年的2025多元增长至20_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20_年以来，东园村没有一名群众越级上访，变成了名副其实的无访村。这一变化，生动体现了在巡察整改中，基层党组织建设加强带来的初步成效。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2026-03-13T05:38:09+08:00</dcterms:created>
  <dcterms:modified xsi:type="dcterms:W3CDTF">2026-03-13T05:38:09+08:00</dcterms:modified>
</cp:coreProperties>
</file>

<file path=docProps/custom.xml><?xml version="1.0" encoding="utf-8"?>
<Properties xmlns="http://schemas.openxmlformats.org/officeDocument/2006/custom-properties" xmlns:vt="http://schemas.openxmlformats.org/officeDocument/2006/docPropsVTypes"/>
</file>