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前期物业管理服务合同(13篇)</w:t>
      </w:r>
      <w:bookmarkEnd w:id="1"/>
    </w:p>
    <w:p>
      <w:pPr>
        <w:jc w:val="center"/>
        <w:spacing w:before="0" w:after="450"/>
      </w:pPr>
      <w:r>
        <w:rPr>
          <w:rFonts w:ascii="Arial" w:hAnsi="Arial" w:eastAsia="Arial" w:cs="Arial"/>
          <w:color w:val="999999"/>
          <w:sz w:val="20"/>
          <w:szCs w:val="20"/>
        </w:rPr>
        <w:t xml:space="preserve">来源：网络  作者：烟雨迷离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前期物业管理服务合同期限 前期物业管理服务合同一甲方（房地产开发企业或其委托的物业管理企业）：_________________法定住址：___________________________________________________...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前期物业管理服务合同一</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w:t>
      </w:r>
    </w:p>
    <w:p>
      <w:pPr>
        <w:ind w:left="0" w:right="0" w:firstLine="560"/>
        <w:spacing w:before="450" w:after="450" w:line="312" w:lineRule="auto"/>
      </w:pPr>
      <w:r>
        <w:rPr>
          <w:rFonts w:ascii="宋体" w:hAnsi="宋体" w:eastAsia="宋体" w:cs="宋体"/>
          <w:color w:val="000"/>
          <w:sz w:val="28"/>
          <w:szCs w:val="28"/>
        </w:rPr>
        <w:t xml:space="preserve">四至：_________东_________南_________西_________北_________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_____空调、暖气干线、供暖锅炉房、高压泵房、楼内消防设施设备、电梯、_____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第十条交通与_____停放秩序的管理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本物业管理区域内的业主、物业使用人在本物业管理区域公共场地停放_____，停放人应与乙方签订专项合同。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前款约定的事项不含业主、使用人的人身与财产_____和财产保管责任，乙方与业主、使用人另行签订合同的除外。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第十四条业主和物业使用人房屋自用部位、自用设施及设备的维修、养护，在当事人提出委托时，乙方原则上应接受委托，但_____由当事双方协商。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2、制定年度开支预算，测算物业管理公共服务_____标准；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11、每月向全体业主和物业使用人公布一次物业管理公共服务费用收支帐目；并将物业管理服务_____项目、_____标准在本物业管理区域内公示；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第二十四条乙方向业主和物业使用人提供的其它服务项目和_____标准如下：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第二十八条乙方违反本合同第六章的约定，擅自提高_____标准的，甲方有权督促和要求乙方清退所_____用，退还利息并按支付违约金；造成甲方经济损失的，乙方应给予甲方经济赔偿。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第二十九条甲乙任一方无正当理由提前终止合同的，应向对方支付_____元的违约金；给对方造成的经济损失超过违约金的，对超过部分还应给予赔偿。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法人代表人：_________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前期物业管理服务合同三</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前期物业管理服务合同四</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前期物业管理服务合同五</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前期物业管理服务合同六</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 前期物业管理服务合同七</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