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《达摩支曲》的原文是什么？该如何理解呢？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达摩支曲　　温庭筠 〔唐代〕　　捣麝成尘香不灭，拗莲作寸丝难绝。　　红泪文姬洛水春，白头苏武天山雪。　　君不见无愁高纬花漫漫，漳浦宴馀清露寒。　　一旦臣僚共囚虏，欲吹羌管先汍澜。　　旧臣头鬓霜华早，可惜雄心醉中老。　　万古春归梦不归，邺...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达摩支曲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捣麝成尘香不灭，拗莲作寸丝难绝。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红泪文姬洛水春，白头苏武天山雪。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君不见无愁高纬花漫漫，漳浦宴馀清露寒。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一旦臣僚共囚虏，欲吹羌管先汍澜。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旧臣头鬓霜华早，可惜雄心醉中老。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万古春归梦不归，邺城风雨连天草。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麝香捣成粉尘香不灭，莲藕折成寸断丝难绝。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蔡文姬的血泪如洛水春汛，苏武白头似天山雪峰。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不见无愁天子尽欢宴，宴后津水之滨清露寒。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一旦君臣被虏成囚徒，要吹羌管不禁泪涟涟。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北齐老臣过早添白发，可惜醉梦之中度残年。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人说自古春回梦不回，只见邺城风雨草连天。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这是一首入律的七言古风，全诗十二行，以韵脚转换为标志，分为三层。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捣麝成尘香不灭，拗莲作寸丝难绝”。这两个比喻句，与李商隐“春蚕到死丝方尽，蜡炬成灰泪始干”同一机杼。“捣麝成尘”、“拗莲作寸”，显示所受戕害凌迟之难忍。但尽管如此，仍然“香不灭”、“丝难绝”，尤见情意绵邈，之死靡它。然而这所咏相思，却非儿女私情。三、四两句“红泪文姬洛水春，白头苏武天山雪”，均为倒文，意思是：文姬红泪如洛水春汛，苏武白头似天山雪峰。天山与洛水，一在塞北，一在中原，两句互文见义，同是身在匈奴，心在汉朝的意思;血泪如涣涣春水，白头似皑皑雪山，则以富于浪漫色彩的奇想，极写苦恋父母之邦的浩茫心事。以上是诗的第一层，借比喻、典故，渲染故国之思，是进入正题前的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四句：“君不见无愁高纬花漫漫，漳浦宴馀清露寒。一旦臣僚共囚虏，欲吹羌管先汍澜。”运用对比手法，写高纬纵欲亡国，是全诗的主体。“君不见”，是七言古诗的句首语，用在首句或关键处，起呼告及引起注意的作用。这一层，前两句写齐亡以前。“无愁”，讥讽高纬临危苟安，终日耽于淫乐：“花漫漫”，形容豪华奢靡，一片花花世界。齐都邺城临漳水，故云“漳浦”;宴余夜深，清露生寒，既表现宫廷饮宴之无度，又借宴后的沉寂反衬宴时的热闹，令人想像那灯红酒绿、鼓乐喧阗的狂欢场面和主醉臣酣、文恬武嬉的末世景象，终究不无终了之时。后两句写齐亡之后，高纬君臣在长安为北周阶下囚，终日忍辱饮恨，往事不堪回首;偶以羌笛寻乐，也只是徒然引起漳浦旧梦，曲未成而泪先流。汍澜，承“红泪文姬洛水春”行文，意谓高纬在北国的处境比蔡文姬在匈奴更加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前两句“旧臣头鬓霜华早，可惜雄心醉中老”，照应“白头苏武天山雪”，写北齐遗民的亡国之恨。当年那些邺都旧臣，空怀复国之心，苦无回天之力，只好深居醉乡，借酒浇愁，一任岁月蹉跎，早生华发，着实可叹可怜。后两句“万古春归梦不归，邺城风雨连天草”，暗示忧劳兴国、逸豫亡身的道理，万古皆然，对晚唐统治者敲起警钟。年复一年，代复一代，自然界的春天岁岁如期归来，邺城繁华的春梦却一去不返，唯见连天荒草在凄风冷雨中飘摇，与当年“无愁高纬花漫漫，漳浦宴馀清露寒”的盛况互相映衬，令人油然而兴今昔沧桑的慨叹，并从中悟出盛衰兴亡之理。全诗以景物描写作尾声，含有余音不尽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这首诗对腐败的晚唐统治集团不失为一剂有力的针砭，不过这种针砭并未引起统治集团的警醒。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在艺术上的一个显著特点，是缘情造境，多方烘托。诗的主旨在于揭示高纬亡齐的历史教训，而歌咏此事的诗句却只有六句，下余六句，开头四句和结尾二句都是为渲染亡国之恨而层层着色的：先以麝碎香存、藕断丝连的比兴，写相思的久远;再用蔡文姬、苏武羁留匈奴的典故，写故国之思的痛切;而在叙述北齐亡国的血泪遗事之后，更越世代而下，以“邺城风雨连天草”的衰败景象，抒写后人的叹惋感伤。这样反复地烘托渲染，从时间、空间、情思各方面扩展意境，大大丰富了诗的形象，增强了抒情色彩和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