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《普天乐·雨儿飘》该如何理解？创作背景是什么？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普天乐·雨儿飘　　张鸣善 〔元代〕　　雨儿飘，风儿飏。风吹回好梦，雨滴损柔肠。风萧萧梧叶中，寸点点芭蕉上。风雨相留添悲怆，雨和风卷起凄凉。风雨儿怎当?风雨儿定当。风雨儿难当。　　译文　　雨在飘洒，风在吹扬。地场好梦风惊醒，细雨断人肠。风...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普天乐·雨儿飘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张鸣善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雨儿飘，风儿飏。风吹回好梦，雨滴损柔肠。风萧萧梧叶中，寸点点芭蕉上。风雨相留添悲怆，雨和风卷起凄凉。风雨儿怎当?风雨儿定当。风雨儿难当。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雨在飘洒，风在吹扬。地场好梦风惊醒，细雨断人肠。风过梧桐叶，寸点落芭蕉。风雨交加令人增添悲怆，雨和着风卷起阵阵凄凉。风雨让人如何承受?但是它却一定让人承受。它实在难于让人承受啊!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飏：即“扬”，吹动。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“风吹”句：意谓风声打断了好梦。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怎当：怎么禁受得住。当，抵挡。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曲，题作“愁怀”，但作者没有直抒胸臆，而是通过一个风雨交加之夜，写环境的凄凉，以自己对风雨的独特感受，来曲折地表达自己内心悲怆的愁怀。此曲以风雨起兴，用复沓手法，交错嵌入“风雨”二字，反复咏叹，语义回环，气势贯注，在艺术上很有特色。作者没有直接写愁，而且似乎说自己正在做着“好梦”，愁是风雨“卷起”的。这种含蓄的写法，令人更感到愁怀的深切难言。全曲每句均以风、雨起头，风、雨排列的次序有所变化，而风雨始终贯穿全篇。这在诗词中是大忌，而在散曲中，却是别具一格的文字体式。这样营造出一种情景交融、一唱三叹的效果，使全曲别有一种音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