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名句“东风有信无人见，露微意、柳际花边”出自于哪里？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东风有信无人见，露微意、柳际花边”出自于哪里?其实此句出自宋代苏轼的《一丛花·初春病起》，此词抓住“初春”和病愈初起这一特殊情景和特有的心理感受，描写词人初春病愈后既喜悦又疏慵的心绪。　　《一丛花·初春病起》　　今年春浅腊...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东风有信无人见，露微意、柳际花边”出自于哪里?其实此句出自宋代苏轼的《一丛花·初春病起》，此词抓住“初春”和病愈初起这一特殊情景和特有的心理感受，描写词人初春病愈后既喜悦又疏慵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《一丛花·初春病起》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今年春浅腊侵年，冰雪破春妍。东风有信无人见，露微意、柳际花边。寒夜纵长，孤衾易暖，钟鼓渐清圆。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朝来初日半衔山，楼阁淡疏烟。游人便作寻芳计，小桃杏、应已争先。衰病少悰，疏慵自放，惟爱日高眠。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天来得早，天气还很寒冷，美丽的春天依然被冰雪覆盖着。不光春天来得迟，它托东风带来的消息也被人们疏忽了，只在柳树、花朵上显露出了些许春意。不过初春时节纵然夜寒且长，但毕竟已是大地春回，厚被子盖着有些热了，就连那报时的钟鼓声也清脆圆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太阳初生，被山遮住了一半，远处的楼阁笼罩在淡淡的雾气之中。春天已到，人们开始计划着外出踏春了，想必郊外的桃花杏花已经争相开放了。我因为生病没有心情出去游玩，只想懒散的躺着，一直睡到日上三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年春浅腊侵年，冰雪破春妍”二句，写春寒犹重，而用腊侵、雪破表述，起笔便呈新奇。“东风”二句进一步刻画“今年春浅”的特色——不光春来得迟，而且即使“有信”也“无人见”，春天只“柳际花边”露了此“微意”。这既表现了这年初春的异常，同时也暗中透露了词人特有的乍觉乍喜的心情。此处“微意”和“柳际花边”启人联想，含蕴深细，极见个性。接下去“寒夜”三句，直抒感受和喜悦心情：初春时节，纵然夜寒且长，但已是大地春回，“孤衾易暧”了，就连那报时钟鼓，也觉其音韵“清圆”悦耳。“寒夜”以下三句，感觉兼有想像在内。其实并不必真暖和，却仿佛暖和了，暮鼓晨钟其实也还是平常的声音，却仿佛格外清圆了，写早春极细。这和下片“初日”“楼阁”句并用杜甫《院中晚晴怀西郭茅舍》：“复有楼台衔暮景，不劳钟鼓报新晴。”浦起龙《读杜心解》卷四之一：“旧注，俗以钟鼓声亮为晴占。”亦与此词意合。至此，初春乍觉而兴奋之情，极有层次、极细腻地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二句写初春晨景，仍贴合着“病起”的特殊景况，只写楼阁中所见所感，“初日半衔山，楼阁淡疏烟。”景象虽不阔大，但色调明丽，充满生机，清新可喜。这既是初春晨景的真实描绘，又符合作者独特的环境和心理感受。以下二句又由眼前景而说到游人郊苑寻芳，进而联想到“小桃杏应已争先”。“争先”即先于其他花卉而开放，此处只说推想，未有实见，还是紧扣“初春病起”的独特情景落笔，写得生动活泼，意趣盎然。这四句与上片前四句写法上有所不同，上片前四句叙事兼写景，景是出以虚笔;下片四句写景兼叙事，景则有实有虚。这样不但避免了重复呆板，同时也符合词人病起遣兴的逻辑。上片写日出之前初醒时的感受和心情，故多臆想之辞，病起逢春，自然兴奋愉悦;下片写日出之后，见到明丽的晨景，故以实笔描画，这既合乎情理，又为下文蓄势。词人由眼前景，自然会联想到寻芳之趣，联想到楼阁之外明媚春光之喜人，因而理应也“作寻芳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“衰病少悰，疏慵自放，惟爱日高眠”，陡然逆转，与前景前情大异其趣。这曲折的波澜，实际上却仍是紧扣“病起”二字。因为尽管春回大地，而病体方起，毕竟少欢乐之趣。“疏慵”对“少悰”，“爱眠”应“衰病”，“日高眠”合“寻芳计”，这样上文逢春情绪到此处一跌。这种心理上的变化，正是“病起”者特有的，对此，此词表现得刻细腻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黄子云说：“诗不外乎情事景物，情事景物要不离乎真实无伪。一日有一日之情，有一日之景，作诗者若能随境兴怀，因题著句，则固景无不真，情无不诚矣。”(《野鸿诗的》)苏轼这首词恰是“能随境兴怀，因题著句”，笔一下之“景”，无论为虚为实，“无不真”;笔下之“情”，无论是喜是优，“无不诚”，这原因就在于他抓住“初春”“病起”这一事的特殊情景，写出了作者的个性、襟怀和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