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《定西番·细雨晓莺春晚》的作者是谁？又该如何鉴赏呢？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定西番·细雨晓莺春晚　　温庭筠 〔唐代〕　　细雨晓莺春晚。人似玉，柳如眉，正相思。　　罗幕翠帘初卷，镜中花一枝。肠断塞门消息，雁来稀。　　译文　　蒙蒙细雨里，晓莺唱着晚春的晨曲。一位容颜如玉的美女，弯弯的柳眉，含着多少相思的情意。　　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定西番·细雨晓莺春晚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细雨晓莺春晚。人似玉，柳如眉，正相思。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罗幕翠帘初卷，镜中花一枝。肠断塞门消息，雁来稀。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蒙蒙细雨里，晓莺唱着晚春的晨曲。一位容颜如玉的美女，弯弯的柳眉，含着多少相思的情意。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把翠帘罗帐高高卷起，看镜中容貌花一样艳丽。相思使她愁肠断，只缘暮春雁来少，断了边关爱人的消息。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反映的是闺中少妇对征人的思念。晚唐时期，黑暗专制的统治阶级并没有足够的力量和愿望统一天下，对士大夫们造成了心理的压抑与人格的扭曲。同时社会动荡与战乱不止也导致闺妇征人分离的加重。温庭筠正生于这种社会动荡乱离阴影的笼罩时期，作品多写闺中女性，此词即为其中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幽怨。上片首先泛写晚春景色，细雨如丝，濛濛洒洒，晓莺啼鸣，倍添幽寂清冷之感。在此暮春环境中，接下来三句写人物形象，“人似玉”写美人如玉，温润秀洁;“柳如眉”写女子柳眉弯弯，娇柔婉媚，这句既写了春柳，又写了人面，把春景与人面自然地结合起来;“正相思”，表现了在暮春环境中人物的活动，由对女子外貌的描写深入到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具体刻画，都与上片相应。帘幕初卷，美人初起，与“晓莺”相应;晓妆对镜，如花一枝，与“人似玉”相应，揭示女子自怜自伤的复杂感受;“肠断”二句，明显女子所思的塞外征人，实写女子由相思而失望，乃至悲怆的心境，思念之情，使人肠断，与上片结拍的“相思”二字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的上下片，都用了比喻来描写人物形象，只不过上片写得细，下片写得概括。这不仅使主人公的形象鲜明，而且她的相思情也给读者留下深刻印象。同时，无论是描写还是抒情，上下片都前后照应，构思精妙，结构紧凑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