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2025年二手房买卖合同最新版 二手房买卖合同纠纷案例(24篇)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二手房买卖合同最新版 二手房买卖合同纠纷案例一买方：_______________(简称乙方) 身份证号码：_____________________根据《中华人民共和国民法典》、《中华人民共和国城市房地产管理法》及其他有关法律、法规之规定...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__________天内腾空该房屋，并在三天内一次性结清本套房屋，物业管理、水、电、有线电视、通讯等费用，并保证上述房屋不存在任何费用及滞纳金与违约金的前提下，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第___________号《房屋所有权证》，___________房共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二手房买卖合同纠纷案例五</w:t>
      </w:r>
    </w:p>
    <w:p>
      <w:pPr>
        <w:ind w:left="0" w:right="0" w:firstLine="560"/>
        <w:spacing w:before="450" w:after="450" w:line="312" w:lineRule="auto"/>
      </w:pPr>
      <w:r>
        <w:rPr>
          <w:rFonts w:ascii="宋体" w:hAnsi="宋体" w:eastAsia="宋体" w:cs="宋体"/>
          <w:color w:val="000"/>
          <w:sz w:val="28"/>
          <w:szCs w:val="28"/>
        </w:rPr>
        <w:t xml:space="preserve">卖方(以下简称甲方)：__________(本人)(法定代表人)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w:t>
      </w:r>
    </w:p>
    <w:p>
      <w:pPr>
        <w:ind w:left="0" w:right="0" w:firstLine="560"/>
        <w:spacing w:before="450" w:after="450" w:line="312" w:lineRule="auto"/>
      </w:pPr>
      <w:r>
        <w:rPr>
          <w:rFonts w:ascii="宋体" w:hAnsi="宋体" w:eastAsia="宋体" w:cs="宋体"/>
          <w:color w:val="000"/>
          <w:sz w:val="28"/>
          <w:szCs w:val="28"/>
        </w:rPr>
        <w:t xml:space="preserve">位于第___层，共___(套)(间)，房屋结构为__，建筑面积_____平方米(其中实际建筑面积___平方米，公共部位与公用房屋分摊建筑面积___平方米)，房屋用途为___;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二手房买卖合同纠纷案例六</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 二手房买卖合同纠纷案例九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