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最新楼盘买卖合同 楼房买卖合同协议书有法律效应么四篇(模板)</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楼盘买卖合同 楼房买卖合同协议书有法律效应么一买方：_______________(简称乙方)根据《中华人民共和国民法典》、《中华人民共和国城市房地产管理法》及其他有关法律、法规之规定，甲、乙双方在平等、自愿、协商一致的基础上，就乙方向甲方...</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楼房买卖合同协议书有法律效应么一</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楼房买卖合同协议书有法律效应么二</w:t>
      </w:r>
    </w:p>
    <w:p>
      <w:pPr>
        <w:ind w:left="0" w:right="0" w:firstLine="560"/>
        <w:spacing w:before="450" w:after="450" w:line="312" w:lineRule="auto"/>
      </w:pPr>
      <w:r>
        <w:rPr>
          <w:rFonts w:ascii="宋体" w:hAnsi="宋体" w:eastAsia="宋体" w:cs="宋体"/>
          <w:color w:val="000"/>
          <w:sz w:val="28"/>
          <w:szCs w:val="28"/>
        </w:rPr>
        <w:t xml:space="preserve">出租方(甲方)：__________________地址：__________________电话：__________________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1.租金为_____元/㎡，即每月租金为人民币_____元(大写__________元整)，乙方每三个月缴纳一次租金，于租金到期前10天缴纳。两年后租金以每年_____%递增。</w:t>
      </w:r>
    </w:p>
    <w:p>
      <w:pPr>
        <w:ind w:left="0" w:right="0" w:firstLine="560"/>
        <w:spacing w:before="450" w:after="450" w:line="312" w:lineRule="auto"/>
      </w:pPr>
      <w:r>
        <w:rPr>
          <w:rFonts w:ascii="宋体" w:hAnsi="宋体" w:eastAsia="宋体" w:cs="宋体"/>
          <w:color w:val="000"/>
          <w:sz w:val="28"/>
          <w:szCs w:val="28"/>
        </w:rPr>
        <w:t xml:space="preserve">2.房屋装修期为_____个月，即房屋计租期为____年____月____日。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7.乙方保证承租甲方的租赁房屋作为办公使用，遵守法律及各项政策，不违法经营。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1.本合同执行中如发生纠纷，应通过甲乙双方友好协商解决，协商不成，可提请当地人民法院起诉。</w:t>
      </w:r>
    </w:p>
    <w:p>
      <w:pPr>
        <w:ind w:left="0" w:right="0" w:firstLine="560"/>
        <w:spacing w:before="450" w:after="450" w:line="312" w:lineRule="auto"/>
      </w:pPr>
      <w:r>
        <w:rPr>
          <w:rFonts w:ascii="宋体" w:hAnsi="宋体" w:eastAsia="宋体" w:cs="宋体"/>
          <w:color w:val="000"/>
          <w:sz w:val="28"/>
          <w:szCs w:val="28"/>
        </w:rPr>
        <w:t xml:space="preserve">2.本合同经过双方代表签章后生效，租赁期满后失效，本合同一式两份，甲、乙双方各执一份。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