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2025年商铺租赁外包合同(7篇)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商铺租赁外包合同商铺承包和租赁的区别一甲方：(转让方)身份证号码：乙方：(受让方)身份证号码：丙方：(商铺出租方)身份证号码：第一条 甲方与 年 月 日前将位于商铺(面积平方米 )转让给乙方使用。第二条 该店铺所有权证号码为，产权为丙方，丙...</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 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 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 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3、乙方务必按照约定向甲方交纳租金。到期不交视同违约，违约金壹拾______万元整。</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商铺租赁外包合同商铺承包和租赁的区别四</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二、甲租赁给乙方的商铺建筑面积为__________平方米，使用面积为__________平方米。甲方同意乙方所租商铺作为经营用，其范围以乙方营业执照为准。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十二、乙方如需要对所租赁商铺进行装修或改造时，必须先征得甲方书面同意，改造的费用由乙方自负。在合同终止、解除租赁关系时，乙方装修或改造与商铺有关的设施全部归甲方所有(可移动设施除外)。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十三、乙方的装修作业不得影响到商铺整体建筑的框架结构，不得影响其安全性，否则由乙方负责赔偿所引致的一切损失，并由其承担相关的法律责任。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十六、甲方和乙方中任何一定代表人变更、企业迁址、合并，不影响本合同继续履行。变更、合并后的一方即成为本合同当然执行人，并承担本合同的内容之权利和义务。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十八、本合同一式____份，甲乙双方各执____份，签字生效。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商铺租赁外包合同商铺承包和租赁的区别六</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商铺租赁外包合同商铺承包和租赁的区别七</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二、租赁期限为10年，自20xx年1月15日起至20xx年10月15日止。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三、该门面前三年即20xx年6月1日至20_年5月31日的租金为____元/年；第二个三年即20_年6月1日至20xx年5月31日的租金为____元/年；后四年即20xx年6月1日至20xx年5月31日的租金为_____元/年。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