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试用期解除劳动关系协议(十四篇)</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试用期解除劳动关系协议一本文以《劳动合同法》及相关法律法规为基础，对企业解除操作做梳理指引，帮助企业做好解除合规操作。员工过错解除要点指引特征员工过错解除是企业基于员工的违规行为而做出的解除行为，过错解除的无须支付经济补偿金。过错解除是裁员...</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试用期解除劳动关系协议一</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试用期解除劳动关系协议二</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试用期解除劳动关系协议五</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试用期解除劳动关系协议六</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试用期解除劳动关系协议九</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试用期解除劳动关系协议篇十</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4"/>
          <w:szCs w:val="34"/>
          <w:b w:val="1"/>
          <w:bCs w:val="1"/>
        </w:rPr>
        <w:t xml:space="preserve">试用期解除劳动关系协议篇十一</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试用期解除劳动关系协议篇十二</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试用期解除劳动关系协议篇十三</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试用期解除劳动关系协议篇十四</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2026-11-08T07:20:05+08:00</dcterms:created>
  <dcterms:modified xsi:type="dcterms:W3CDTF">2026-11-08T07:20:05+08:00</dcterms:modified>
</cp:coreProperties>
</file>

<file path=docProps/custom.xml><?xml version="1.0" encoding="utf-8"?>
<Properties xmlns="http://schemas.openxmlformats.org/officeDocument/2006/custom-properties" xmlns:vt="http://schemas.openxmlformats.org/officeDocument/2006/docPropsVTypes"/>
</file>