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设备委托管理合同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甲方:上海**物业有限公司 (以下简称甲方)乙方: (以下简称乙方)根据管理合同约定,乙方为变配电设备有资质的专业管理公司,甲方经过对乙方的了解,决定将所属配电站委托乙方管理。甲、乙双方共同遵守中华人民共和国《合同法》、《电力法》,并明确双...</w:t>
      </w:r>
    </w:p>
    <w:p>
      <w:pPr>
        <w:ind w:left="0" w:right="0" w:firstLine="560"/>
        <w:spacing w:before="450" w:after="450" w:line="312" w:lineRule="auto"/>
      </w:pPr>
      <w:r>
        <w:rPr>
          <w:rFonts w:ascii="宋体" w:hAnsi="宋体" w:eastAsia="宋体" w:cs="宋体"/>
          <w:color w:val="000"/>
          <w:sz w:val="28"/>
          <w:szCs w:val="28"/>
        </w:rPr>
        <w:t xml:space="preserve">甲方:上海**物业有限公司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