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赠与合同撤销权的时效问题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赠与合同撤销权的时效问题》的文章，供大家学习参考！某甲，男，与某女乙协议离婚，约定男方将三间房产给女儿丙。其余财产二人分平分。女儿由男方抚养(实际上长期随母生活)。若干年后，女儿成人，与甲办理了房产赠与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以下是i乐德范文网为大家整理的关于《赠与合同撤销权的时效问题》的文章，供大家学习参考！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某甲，男，与某女乙协议离婚，约定男方将三间房产给女儿丙。其余财产二人分平分。女儿由男方抚养(实际上长期随母生活)。若干年后，女儿成人，与甲办理了房产赠与过户手续。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甲(因再婚)在医院查出先天不育，因怀疑女儿非己所生。于是持医院诊断书向一审法院提起诉讼。但一审法院开始不受理，说诊断书没有法律效力，必须要做亲子鉴定才行。因甲反复多次要求，一审法院请示了二审法院。二审法院回答应予立案，这样拖了四个多月。一审法院开庭审理中，丙拒绝做亲子鉴定，乙则承认丙确非与甲所生。这样一审法院做出判决，推定甲与丙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18日甲提起亲子关系确认诉讼，至2025年4月14日一审做出判决，双方均未上诉，该判决生效。甲于2025年1月26日起诉，请求行使撤销权，收回赠与丙的房产。一审法院认为甲有权收回房产，但撤销权时效为一年，应从甲2025年收到医院不育诊断书时算起，现在已超过时效，因此驳回了甲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认为，既然法院认为诊断书不具有法律效力，必须要先进行亲子关系确认诉讼，然后才能谈及其他。而亲子确认诉讼可能判确定没有血缘关系，也可能判不能确定没有血缘关系，因此在这个诉讼判决前，甲不可能有撤销权。因此时效应从亲子确认判决书生效时算起。那么甲的撤销权的时效究竟应从何时算起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