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个人汽车金融贷款合同(3篇)</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汽车金融贷款合同一法定代表人：陈建，总经理答辩人就答辩人与原告担保合同纠纷一案，现提出如下答辩意见:一、答辩人在成立清算组后已经对公司清算的事宜进行了公告，原告起诉答辩人仍然承担连带保证责任而提起的诉讼请求应予以驳回。原告在起诉状中共提...</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个人汽车金融贷款合同一</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_年4月24日成立清算组并通知债权人申请债权，20_年9月29日万好置业将清算事宜在《芜湖日报》进行了公告。20_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第六组证据中的《准予注销登记通知书》显示，繁昌县工商行政部门于20_年4月15日准予对繁昌县万好置业进行注销登记。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个人汽车金融贷款合同二</w:t>
      </w:r>
    </w:p>
    <w:p>
      <w:pPr>
        <w:ind w:left="0" w:right="0" w:firstLine="560"/>
        <w:spacing w:before="450" w:after="450" w:line="312" w:lineRule="auto"/>
      </w:pPr>
      <w:r>
        <w:rPr>
          <w:rFonts w:ascii="宋体" w:hAnsi="宋体" w:eastAsia="宋体" w:cs="宋体"/>
          <w:color w:val="000"/>
          <w:sz w:val="28"/>
          <w:szCs w:val="28"/>
        </w:rPr>
        <w:t xml:space="preserve">金融贷款居间合同书</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________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二、房屋价款：该物业的买卖价款为人民币________________(大写)：________________________元整。成交价含该物业现有及所属的设施和装修，现有配套设施有：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________项，卖方需支付________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七、交房时间的约定：如甲方不能按时交房，甲方应将该物业的成交额的0.1%/天的滞纳金支付给乙方。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十七、本合同在履行过程中若产生争议，应友好协商，协商不成时，甲乙约定按下述第______种方式解决：①提交____市仲裁委员会仲裁;②依法向人民法院起诉。对因居间报酬所产生的争议，由丙方选择。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个人汽车金融贷款合同三</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供车方：×企业购车方：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2026-01-23T00:22:30+08:00</dcterms:created>
  <dcterms:modified xsi:type="dcterms:W3CDTF">2026-01-23T00:22:30+08:00</dcterms:modified>
</cp:coreProperties>
</file>

<file path=docProps/custom.xml><?xml version="1.0" encoding="utf-8"?>
<Properties xmlns="http://schemas.openxmlformats.org/officeDocument/2006/custom-properties" xmlns:vt="http://schemas.openxmlformats.org/officeDocument/2006/docPropsVTypes"/>
</file>