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股票典当合同样本</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以下是i乐德范文网为大家整理的关于《股票典当合同样本》，供大家学习参考！　　典当权人（质押权人）（简称甲方）：____典当有限责任公司 　　典当人（质押人）（简称乙方）：________________________ 　　乙方因资金周转困...</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以下是i乐德范文网为大家整理的关于《股票典当合同样本》，供大家学习参考！</w:t>
      </w:r>
    </w:p>
    <w:p>
      <w:pPr>
        <w:ind w:left="0" w:right="0" w:firstLine="560"/>
        <w:spacing w:before="450" w:after="450" w:line="312" w:lineRule="auto"/>
      </w:pPr>
      <w:r>
        <w:rPr>
          <w:rFonts w:ascii="宋体" w:hAnsi="宋体" w:eastAsia="宋体" w:cs="宋体"/>
          <w:color w:val="000"/>
          <w:sz w:val="28"/>
          <w:szCs w:val="28"/>
        </w:rPr>
        <w:t xml:space="preserve">　　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　　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　　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　　第一条 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　　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　　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　　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　　第五条 甲方合同生效后一日内将借款给付乙方。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　　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　　第七条 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　　第九条 在典当期间如果乙方帐户总市值降至（人民币）：________佰________拾________万________仟________佰______拾_____元时，乙方必须自动地在二日内将市值补至（人民币）：________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　　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