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非营业用汽车损失保险合同范文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这篇《非营业用汽车损失保险合同范文》是为大家整理的，希望对大家有所帮助。以下信息仅供参考！！！非营业用汽车损失保险合同　　第一章　总则　　第一条　本保险合同由保险条款、投保单、保险单、批单和特别约定组成。凡涉及本保险合同的约定，均应采用书面...</w:t>
      </w:r>
    </w:p>
    <w:p>
      <w:pPr>
        <w:ind w:left="0" w:right="0" w:firstLine="560"/>
        <w:spacing w:before="450" w:after="450" w:line="312" w:lineRule="auto"/>
      </w:pPr>
      <w:r>
        <w:rPr>
          <w:rFonts w:ascii="宋体" w:hAnsi="宋体" w:eastAsia="宋体" w:cs="宋体"/>
          <w:color w:val="000"/>
          <w:sz w:val="28"/>
          <w:szCs w:val="28"/>
        </w:rPr>
        <w:t xml:space="preserve">这篇《非营业用汽车损失保险合同范文》是为大家整理的，希望对大家有所帮助。以下信息仅供参考！！！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非营业用汽车损失保险合同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非营业用汽车是指在中华人民共和国境内（不含港、澳、台地区）行驶的党政机关、企事业单位、社会团体、使领馆等机构从事公务或在生产经营活动中不以直接或间接方式收取运费或租金的自用汽车，包括客车、货车、客货两用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（四）驾驶人员饮酒、吸食或注射毒品、被药物麻醉后使用保陷车辆；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（六）因市场价格变动造成的贬值、修理后因价值降低引起的损失；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（七）车辆标准配置以外，未投保的新增设备的损失；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　　（二）按投保时保险车辆的实际价值确定。本保险合同中的实际价值是指同类型车辆新车购置价减去折旧金额后的价格。9座以下客车：6．00％的年折旧率；农用运输车：12．50％的年折旧率；其他车辆：10．00％的年折旧率。折旧按年计算，不足一年的，不计折旧。折旧金额不超过投保时保险车辆新车购置价的80％。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（三）保险车辆发生第四条（一）、（二）、（三）列明的保险责任范围内的损失应当由第三方负责赔偿的，确实无法找到第三方时，免赔率为15％。</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下列情况下，保险人支付赔款后，保险合同终止，保险人不退还非营业用汽车损失保险及其附加险的保险费：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（二）上一保险年度享受保险费优待的车辆发生本保险及其附加险赔款，续保时保险费优待比例按以下公式计算，直至保险费优待比例为零时止。续保时保险费优待比例二上一保险年度保险费优待比例 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在投保非营业用汽车损失保险的基础上，投保人可投保附加险。附加险条款与本保险条款相抵触的，以附加险条款为准；附加险条款未尽事宜，以本保险条款为准。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2026-11-08T07:35:12+08:00</dcterms:created>
  <dcterms:modified xsi:type="dcterms:W3CDTF">2026-11-08T07:35:12+08:00</dcterms:modified>
</cp:coreProperties>
</file>

<file path=docProps/custom.xml><?xml version="1.0" encoding="utf-8"?>
<Properties xmlns="http://schemas.openxmlformats.org/officeDocument/2006/custom-properties" xmlns:vt="http://schemas.openxmlformats.org/officeDocument/2006/docPropsVTypes"/>
</file>