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金融合同:平安全福保本终身保险(利差返还型)保险合同范本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安全福保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本公...</w:t>
      </w:r>
    </w:p>
    <w:p>
      <w:pPr>
        <w:ind w:left="0" w:right="0" w:firstLine="560"/>
        <w:spacing w:before="450" w:after="450" w:line="312" w:lineRule="auto"/>
      </w:pPr>
      <w:r>
        <w:rPr>
          <w:rFonts w:ascii="宋体" w:hAnsi="宋体" w:eastAsia="宋体" w:cs="宋体"/>
          <w:color w:val="000"/>
          <w:sz w:val="28"/>
          <w:szCs w:val="28"/>
        </w:rPr>
        <w:t xml:space="preserve">平安全福保本终身保险(利差返还型)条款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被保险人于保单生效日起1年内因疾病身故，本公司按保险金额的10%给付“身故保险金”，并无息退还所交保险费，保险责任终止。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被保险人因意外伤害事故或于保单生效日起1年后因疾病身故，本公司按保险金额给付“身故保险金”，并无息返还所交保险费，保险责任终止。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前述所称“所交保险费”，趸交时指给付当时的趸交保险费，期交时指身故时的保单年度数(交费期满后为交费年度数)乘给付当时的年交保险费。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本合同的保险金额由投保人和本公司约定并于保险单上载明。</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二、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三、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四、如被保险人在宣告死亡后生还，保险金领取人应于知道或应当知道被保险人生还后30日内退还本公司已支付的保险金。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五、受益人对本公司请求给付保险金的权利，自其知道或应当知道保险事故发生之日起5年不行使而消灭。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办理减额交清后，第二条“身故保险金”按减额交清后保险金额给付，不再无息返还所交保险费。</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 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合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投保人于本合同成立后，可以书面通加要求解除本合同。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 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本合同履行过程中，双方发生争议的，应协商解决，经双方协商未达成协议的，可依()项方式处理：(1)通过仲裁解决；(2)通过诉讼方式解决。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