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2025年生意投资合作协议</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以下是为大家整理的2024年生意投资合作协议，供大家学习参考！甲方：_________(以下简称甲方)　　　　乙方：_________(以下简称乙方)　　　　一、土地问题　　　　1、土地价格　　　　为体现对本项目的支持，甲方初步确定以万元人...</w:t>
      </w:r>
    </w:p>
    <w:p>
      <w:pPr>
        <w:ind w:left="0" w:right="0" w:firstLine="560"/>
        <w:spacing w:before="450" w:after="450" w:line="312" w:lineRule="auto"/>
      </w:pPr>
      <w:r>
        <w:rPr>
          <w:rFonts w:ascii="宋体" w:hAnsi="宋体" w:eastAsia="宋体" w:cs="宋体"/>
          <w:color w:val="000"/>
          <w:sz w:val="28"/>
          <w:szCs w:val="28"/>
        </w:rPr>
        <w:t xml:space="preserve">以下是为大家整理的2025年生意投资合作协议，供大家学习参考！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一、土地问题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1、土地价格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体现对本项目的支持，甲方初步确定以万元人民币/亩的优惠价格，将项目所需该宗土地的使用权出让给乙方，出让金总额为万元人民币。该宗土地征用成本与出让值差额计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2、土地位置及出让方式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同意本项目进入济南出口加工区实现产业化。初步确定项目建设地点位于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1、开工条件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按照乙方建设规划要求，甲方于年月日前，保证本期用地具备上水、污水、雨水、热力、宽带网、公用天线、通电、通信、通路和场平即\"九通一平\"的基本建设条件，确保乙方顺利进畅?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2、工程进度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3、竣工时间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乙方必须在年月日前竣工，延期竣工时应于原定竣工日期前三十日以上时间内，向甲方提出延期说明，取得甲方认可。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为避免国有资产流失，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3、本协议一式份，甲、乙双方各执份。份协议具有同等法律效力，经甲、乙双方法定代表人(或委托代理人)签字盖章生效。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4、本协议于年月日在中华人民共和国山东济南市签订。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2026-08-10T04:49:45+08:00</dcterms:created>
  <dcterms:modified xsi:type="dcterms:W3CDTF">2026-08-10T04:49:45+08:00</dcterms:modified>
</cp:coreProperties>
</file>

<file path=docProps/custom.xml><?xml version="1.0" encoding="utf-8"?>
<Properties xmlns="http://schemas.openxmlformats.org/officeDocument/2006/custom-properties" xmlns:vt="http://schemas.openxmlformats.org/officeDocument/2006/docPropsVTypes"/>
</file>