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最新金昌租房合同怎么签 西宁租房合同(四篇)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金昌租房合同怎么签 西宁租房合同一 要审核房主证件才能签租赁合同，对待合同不可随意，一定逐条审核，如果有疑问及时提出。在租房期间，宝宝们你们在哪里租房有没有什么租房秘诀留言区唠唠呀？金昌租房合同怎么签 西宁租房合同二包机人：________...</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西宁租房合同一</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西宁租房合同二</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西宁租房合同三</w:t>
      </w:r>
    </w:p>
    <w:p>
      <w:pPr>
        <w:ind w:left="0" w:right="0" w:firstLine="560"/>
        <w:spacing w:before="450" w:after="450" w:line="312" w:lineRule="auto"/>
      </w:pPr>
      <w:r>
        <w:rPr>
          <w:rFonts w:ascii="宋体" w:hAnsi="宋体" w:eastAsia="宋体" w:cs="宋体"/>
          <w:color w:val="000"/>
          <w:sz w:val="28"/>
          <w:szCs w:val="28"/>
        </w:rPr>
        <w:t xml:space="preserve">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（[1]）陈甦：《城市化过程中集体土地的概括国有化》，载《法学研究》20_年第3期，第108页。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西宁租房合同四</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