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商品购销合同下载(21篇)</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一依据《中华人民共和国合同法》、《中华人民共和国建筑法》及相关法律法规，本着互惠互利、合作共赢的原则，经甲乙双方友好协商，现就甲方购买乙方扣件事宜达成如协议：一、扣件的单价、规格及数量二、交货方式、费用及数量确认：乙方必须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