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2025年物资购销合同税务 物资购销合同纳税人等级(6篇)</w:t>
      </w:r>
      <w:bookmarkEnd w:id="1"/>
    </w:p>
    <w:p>
      <w:pPr>
        <w:jc w:val="center"/>
        <w:spacing w:before="0" w:after="450"/>
      </w:pPr>
      <w:r>
        <w:rPr>
          <w:rFonts w:ascii="Arial" w:hAnsi="Arial" w:eastAsia="Arial" w:cs="Arial"/>
          <w:color w:val="999999"/>
          <w:sz w:val="20"/>
          <w:szCs w:val="20"/>
        </w:rPr>
        <w:t xml:space="preserve">来源：网络  作者：独影花开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物资购销合同税务 物资购销合同纳税人等级一购货单位： (以下简称甲方)为增加甲乙双方的责任感，确保实现各自经济目的，依据《中华人民共和国合同法》规定及招投标文件之内容，甲乙双方经友好协商，就甲方向乙方购买 达成如下协议：一、合同标的(名称、...</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物资购销合同纳税人等级一</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物资购销合同纳税人等级三</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物资购销合同纳税人等级四</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物资购销合同税务 物资购销合同纳税人等级六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2026-11-08T07:10:57+08:00</dcterms:created>
  <dcterms:modified xsi:type="dcterms:W3CDTF">2026-11-08T07:10:57+08:00</dcterms:modified>
</cp:coreProperties>
</file>

<file path=docProps/custom.xml><?xml version="1.0" encoding="utf-8"?>
<Properties xmlns="http://schemas.openxmlformats.org/officeDocument/2006/custom-properties" xmlns:vt="http://schemas.openxmlformats.org/officeDocument/2006/docPropsVTypes"/>
</file>