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2025年商铺装修合同标准版(十六篇)</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商铺装修合同标准版一自协议签定之日，甲方负责为乙方提供店面整体设计及装修。装修内容包括： 门头广告牌的设计、制作、安装; 产品形象墙的\'\'设计、制作、安装; 产品展示架的设计、制作、安装; 店内主体色调的制定、粉刷; 店内棚顶吊旗的设计、制...</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商铺装修合同标准版一</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商铺装修合同标准版三</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乙方：________层________号商铺经营者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本合同装修场地：________。</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中山市xx物业管理有限公司，以下简称物管公司。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为加强商铺室内装饰装修管理，保证装饰装修工程和安全，维护公共安全和公众利益，共同营造一个安全、舒服、优良的生活环境，就xx居小区商铺装饰装修管理一事，签订如下协议：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商铺装修合同标准版七</w:t>
      </w:r>
    </w:p>
    <w:p>
      <w:pPr>
        <w:ind w:left="0" w:right="0" w:firstLine="560"/>
        <w:spacing w:before="450" w:after="450" w:line="312" w:lineRule="auto"/>
      </w:pPr>
      <w:r>
        <w:rPr>
          <w:rFonts w:ascii="宋体" w:hAnsi="宋体" w:eastAsia="宋体" w:cs="宋体"/>
          <w:color w:val="000"/>
          <w:sz w:val="28"/>
          <w:szCs w:val="28"/>
        </w:rPr>
        <w:t xml:space="preserve">甲方：(物业服务企业)乙方：号商铺租户(合法租赁人)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__商业街商铺装修工程的管理，保障商铺房屋结构及消防安全，保持商业街美观的整体形象和良好的经营秩序，维护业主单位及人全体商户的合法权益，依据相关法律法规、《__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(一)乙方承诺遵守《__商业街临时管理规约》等相关管理规定;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(六)楼顶、平台、外门、窗、阳台的装修及空调的安装，必须严格遵守__商业街的有关管理规定，保证商业街的整体美观及建筑物外观的协调统一。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 (二)本协议书一式肆份，甲乙双方各执贰份，具有同等法律效力，自甲乙方签字或盖章之日起生效。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商铺装修合同标准版八</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1、工程总价格为人民币：元(大写：)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商铺装修合同标准版篇十六</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2026-05-06T00:01:11+08:00</dcterms:created>
  <dcterms:modified xsi:type="dcterms:W3CDTF">2026-05-06T00:01:11+08:00</dcterms:modified>
</cp:coreProperties>
</file>

<file path=docProps/custom.xml><?xml version="1.0" encoding="utf-8"?>
<Properties xmlns="http://schemas.openxmlformats.org/officeDocument/2006/custom-properties" xmlns:vt="http://schemas.openxmlformats.org/officeDocument/2006/docPropsVTypes"/>
</file>