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二手房购房合同补办(22篇)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二手房购房合同补办一条文：甲方自愿将其房屋出售给乙方，乙方也已充分了解该房屋具体状况，并自愿买受该房屋。该房屋具体状况如下：(一) 座落于南京市 区 ，建筑面积 平方米;(二) 出售房屋的所有权证证号为 ，丘号为 ;(三) 房屋平面图及其四...</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二手房购房合同补办一</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二手房购房合同补办三</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二手房购房合同补办五</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【二手房的购房合同(四)】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二手房购房合同补办七</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二手房购房合同补办八</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