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2025年采购安装合同的性质(二十四篇)</w:t>
      </w:r>
      <w:bookmarkEnd w:id="1"/>
    </w:p>
    <w:p>
      <w:pPr>
        <w:jc w:val="center"/>
        <w:spacing w:before="0" w:after="450"/>
      </w:pPr>
      <w:r>
        <w:rPr>
          <w:rFonts w:ascii="Arial" w:hAnsi="Arial" w:eastAsia="Arial" w:cs="Arial"/>
          <w:color w:val="999999"/>
          <w:sz w:val="20"/>
          <w:szCs w:val="20"/>
        </w:rPr>
        <w:t xml:space="preserve">来源：网络  作者：九曲桥畔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采购安装合同的性质一地址：法定代表人：供货单位： (以下简称“乙方”) 地址：法定代表人：甲方根据工程需要，并经双方友好协商一致，决定将 工程设备供货及安装交由乙方负责。为明确双方权利、义务和责任，根据《中华人民共和国合同法》及相关法律法规...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采购安装合同的性质篇十一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运费由乙方负担。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包装物回收。</w:t>
      </w:r>
    </w:p>
    <w:p>
      <w:pPr>
        <w:ind w:left="0" w:right="0" w:firstLine="560"/>
        <w:spacing w:before="450" w:after="450" w:line="312" w:lineRule="auto"/>
      </w:pPr>
      <w:r>
        <w:rPr>
          <w:rFonts w:ascii="宋体" w:hAnsi="宋体" w:eastAsia="宋体" w:cs="宋体"/>
          <w:color w:val="000"/>
          <w:sz w:val="28"/>
          <w:szCs w:val="28"/>
        </w:rPr>
        <w:t xml:space="preserve">六、验收标准、方法提出异议期限 按相关国家标准及行业标准验收。 包装完好，无破损，货到当日提出异议。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2026-04-24T01:23:48+08:00</dcterms:created>
  <dcterms:modified xsi:type="dcterms:W3CDTF">2026-04-24T01:23:48+08:00</dcterms:modified>
</cp:coreProperties>
</file>

<file path=docProps/custom.xml><?xml version="1.0" encoding="utf-8"?>
<Properties xmlns="http://schemas.openxmlformats.org/officeDocument/2006/custom-properties" xmlns:vt="http://schemas.openxmlformats.org/officeDocument/2006/docPropsVTypes"/>
</file>