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2025年电线电缆材料采购合同 电线电缆采购合同编号(十三篇)</w:t>
      </w:r>
      <w:bookmarkEnd w:id="1"/>
    </w:p>
    <w:p>
      <w:pPr>
        <w:jc w:val="center"/>
        <w:spacing w:before="0" w:after="450"/>
      </w:pPr>
      <w:r>
        <w:rPr>
          <w:rFonts w:ascii="Arial" w:hAnsi="Arial" w:eastAsia="Arial" w:cs="Arial"/>
          <w:color w:val="999999"/>
          <w:sz w:val="20"/>
          <w:szCs w:val="20"/>
        </w:rPr>
        <w:t xml:space="preserve">来源：网络  作者：流年似水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电线电缆材料采购合同 电线电缆采购合同编号一供货方： (以下简称乙方)依照中华人民共和国合同法及其他相关法律、行政法规的规定，经甲乙双方自愿、公平协商，就 楼电缆供应事宜协商一致，为明确甲乙双方的权利、义务，订立本合同，以期双方共同遵守。合...</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电线电缆采购合同编号四</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电线电缆采购合同编号五</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电线电缆采购合同编号六</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电线电缆材料采购合同 电线电缆采购合同编号篇十一</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电线电缆采购合同编号篇十二</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电线电缆材料采购合同 电线电缆采购合同编号篇十三</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总价：________________元</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第八条本合同如发生纠纷，当事人双方应当及时协商解决，也可以直接向人民法院起诉。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第九条，本合同一经签订，立即生效。</w:t>
      </w:r>
    </w:p>
    <w:p>
      <w:pPr>
        <w:ind w:left="0" w:right="0" w:firstLine="560"/>
        <w:spacing w:before="450" w:after="450" w:line="312" w:lineRule="auto"/>
      </w:pPr>
      <w:r>
        <w:rPr>
          <w:rFonts w:ascii="宋体" w:hAnsi="宋体" w:eastAsia="宋体" w:cs="宋体"/>
          <w:color w:val="000"/>
          <w:sz w:val="28"/>
          <w:szCs w:val="28"/>
        </w:rPr>
        <w:t xml:space="preserve">购货单位（甲方）：________________（公章）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2026-03-10T03:42:36+08:00</dcterms:created>
  <dcterms:modified xsi:type="dcterms:W3CDTF">2026-03-10T03:42:36+08:00</dcterms:modified>
</cp:coreProperties>
</file>

<file path=docProps/custom.xml><?xml version="1.0" encoding="utf-8"?>
<Properties xmlns="http://schemas.openxmlformats.org/officeDocument/2006/custom-properties" xmlns:vt="http://schemas.openxmlformats.org/officeDocument/2006/docPropsVTypes"/>
</file>