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无偿供货合同范本(合集9篇)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无偿供货合同范本1甲方：（以下简称甲方）乙方：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开始第一批货，需方如分批提货的，应拟订分批提货时间并按时提货，并在________年____月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九、违约责任：按《民法典》规定执行。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无偿供货合同范本7</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无偿供货合同范本9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