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2025年钢结构承包合同版本 钢结构承包合同款纠纷(十四篇)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钢结构承包合同版本 钢结构承包合同款纠纷一施工单位(乙方)：根据《中华人民共和国合同法》、《建筑安装工程承包合同条例》规定，结合本工程实际情况，经双方友好协商，达成以下协议：±0.000以上钢结构工程、彩钢板工程，不包括任何土建、水、电、暖...</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钢结构承包合同版本 钢结构承包合同款纠纷篇十一</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钢结构承包合同款纠纷篇十二</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钢结构承包合同版本 钢结构承包合同款纠纷篇十四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