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个人股份转让合同(3篇)</w:t>
      </w:r>
      <w:bookmarkEnd w:id="1"/>
    </w:p>
    <w:p>
      <w:pPr>
        <w:jc w:val="center"/>
        <w:spacing w:before="0" w:after="450"/>
      </w:pPr>
      <w:r>
        <w:rPr>
          <w:rFonts w:ascii="Arial" w:hAnsi="Arial" w:eastAsia="Arial" w:cs="Arial"/>
          <w:color w:val="999999"/>
          <w:sz w:val="20"/>
          <w:szCs w:val="20"/>
        </w:rPr>
        <w:t xml:space="preserve">来源：网络  作者：烟雨迷离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个人股份转让合同一转让方（个人）（以下简称甲方）身份证号码：姓名：转让方（个人）（以下简称乙方）身份证号码：姓名：受让方（个人）（以下简称丙方）身份证号码：姓名：甲方系九瑞大道大润发广场蓝钻中心四楼正砭堂美容养生馆股东，占养生馆总股份的45...</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个人股份转让合同一</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1、转让方(甲方)转让给受让方(乙方)有限公司的%股权，受让方同意接受。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10、本协议变更或解除：</w:t>
      </w:r>
    </w:p>
    <w:p>
      <w:pPr>
        <w:ind w:left="0" w:right="0" w:firstLine="560"/>
        <w:spacing w:before="450" w:after="450" w:line="312" w:lineRule="auto"/>
      </w:pPr>
      <w:r>
        <w:rPr>
          <w:rFonts w:ascii="宋体" w:hAnsi="宋体" w:eastAsia="宋体" w:cs="宋体"/>
          <w:color w:val="000"/>
          <w:sz w:val="28"/>
          <w:szCs w:val="28"/>
        </w:rPr>
        <w:t xml:space="preserve">11、争议解决约定：</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经公开转让，甲方同意将“ ”、“ ”船舶(船舶所有权登记证书号分别为_、_)转让给乙方，现就有关转让事项协议如下：</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 元人民币购买甲方船舶。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二、支付时间。乙方必须在签订协议后三个工作日内将购船款缴到射阳县信诚产权交易所公告上注明的银行帐号上。逾期作毁约论处，乙方竞价保证金归甲方所有。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1、甲方责任。甲方在收到《产权交割通知书》时，及时向乙方提供现有过户资料，但不负责船舶过户手续的办理。如发证机关要求，可以派人协助办理船舶过户手续。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证件资料情况均已知晓，成交后，乙方不得因船舶质量、证件资料问题向甲方提出任何异议，并限在合同签订后原则上两周内(不包括船舶需要维修及补办有关证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3、船舶过户过程中，因年检、补办证书所发生的费用及缴纳的滞纳金、罚款均由乙方承担。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4、船舶按现状予以出售，船舶过户费用、产权交易费、公证费、手续办理等费用均由乙方承担，国家税收按规定由甲乙双方各自承担。</w:t>
      </w:r>
    </w:p>
    <w:p>
      <w:pPr>
        <w:ind w:left="0" w:right="0" w:firstLine="560"/>
        <w:spacing w:before="450" w:after="450" w:line="312" w:lineRule="auto"/>
      </w:pPr>
      <w:r>
        <w:rPr>
          <w:rFonts w:ascii="宋体" w:hAnsi="宋体" w:eastAsia="宋体" w:cs="宋体"/>
          <w:color w:val="000"/>
          <w:sz w:val="28"/>
          <w:szCs w:val="28"/>
        </w:rPr>
        <w:t xml:space="preserve">5、甲、乙双方过户过程中产生纠纷的，须自行协调解决或向射阳县人民法院提起诉讼，射阳县信诚产权交易所不承担任何协助调解、解决瑕疵争议等义务和责任。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四、本协议一式伍份。甲方、乙方、国资办、交易所、港口管理局各执一份。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五、本协议自各方签字盖章后生效，甲乙双方船舶过户手续办妥后自然失效。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