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施工合同范本广告(优选6篇)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广告11、若甲方逾期付款的，乙方有权催促甲方付款，并要求甲方支付违约金，每逾期一日的逾期违约金为元支付给乙方。2、乙方不能按本合同的约定完成制作、安装工作并经验收合格的，每逾期一日应向甲方支付违约金人民币元。八、其他事项1、本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施工合同范本广告1</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xxxx卷闸门厂为xxxx销售有限公司拆除办公大楼二楼楼顶大型户外广告牌。经甲、乙双方协商，达成如下协议：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一、广告牌位于甲方办公大楼二楼楼顶，长___米，高___米，面积___平方米。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施工合同范本广告6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第二条承包范围：_____________________。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竣工日期(工程经消防部门验收合格，并出具消防验收合格证的时间)：_______________________。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w:t>
      </w:r>
    </w:p>
    <w:p>
      <w:pPr>
        <w:ind w:left="0" w:right="0" w:firstLine="560"/>
        <w:spacing w:before="450" w:after="450" w:line="312" w:lineRule="auto"/>
      </w:pPr>
      <w:r>
        <w:rPr>
          <w:rFonts w:ascii="宋体" w:hAnsi="宋体" w:eastAsia="宋体" w:cs="宋体"/>
          <w:color w:val="000"/>
          <w:sz w:val="28"/>
          <w:szCs w:val="28"/>
        </w:rPr>
        <w:t xml:space="preserve">价款调整：_______________________。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