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广告牌制作合同印花税(21篇)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一甲方：乙方：根据《中华人民共和国广告法》,《中华人民共和国民法典》及国家相关法律、法规的规定,甲、乙双方在平等、自愿、等价有偿、公平、诚实信用的基础上,经友好协商,就甲方委托乙方制作及安装的事宜,达成一致意见,特签订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