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门头广告牌制作合同大全(六篇)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简易广告牌制作合同印花税一甲乙双方根据《民法典》及有关规定，签订本合同，并共同遵守。一、甲方委托乙方于年月日制作.二、名称：三、规格为：四、制作要求：五、安装地点：六、完工日期：七、广告采用甲方提供样稿，未经甲方同意，乙方不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广告牌制作合同简易广告牌制作合同印花税一</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