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最新加盟合同冷静期的合法性(二十二篇)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加盟合同冷静期的合法性一乙方：1、 合同总则1.1 为了拓展\"岛屿传说\"品牌旅游商品的销售市场，甲方特推出\"岛屿传说\"特许专卖计划。1.2 甲方根据加盟计划，鉴于乙方申请，授予乙方专卖店或专柜特许经营权。1.3 乙方自愿申请加入\"岛屿传说\"...</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加盟合同冷静期的合法性篇十一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