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最新建筑合同纠纷十篇(模板)</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乙方：（以下简称乙方）按照《中华人民共和国合同法》及其他有关法律规定，遵循平等、自愿、公平和诚信的原则，双方就本工程施工事宜达成如下协议。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三、工期要求：开工时间为________年____月____日，竣工时间为________年____月____日。如遇雨天、停电、甲方未按合同支付工程款造成停工，工期顺延。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万元，水槽每米元计算。另外：所做棚高度超过9米以上的单价为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2、付款方式：预付元，中途元，竣工元。</w:t>
      </w:r>
    </w:p>
    <w:p>
      <w:pPr>
        <w:ind w:left="0" w:right="0" w:firstLine="560"/>
        <w:spacing w:before="450" w:after="450" w:line="312" w:lineRule="auto"/>
      </w:pPr>
      <w:r>
        <w:rPr>
          <w:rFonts w:ascii="宋体" w:hAnsi="宋体" w:eastAsia="宋体" w:cs="宋体"/>
          <w:color w:val="000"/>
          <w:sz w:val="28"/>
          <w:szCs w:val="28"/>
        </w:rPr>
        <w:t xml:space="preserve">3、工程大约面积平方米，总造价约万元，以完工计算为准。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五、甲方驻工地代表：电话：乙方驻工地代表：电话：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2、材料标准：彩钢板型号型，彩钢板厚度，上白下蓝，立柱为型钢管，厚度为，檀条采用型钢，立柱混凝土部分由甲方负责材料，乙方承做，人工工资由乙方负责。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八、质保事宜本工程主结构架（含彩钢材）保用________年，在保修期内，钢屋架甲方应每年处理防锈漆一次，七级以上大风、基础沉降、地震、人为因素除外。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九、违约责任甲方违约责任未按照本合同约定按时支付工程款，甲方应向乙方支付应付未付工程款的的违约金。乙方违约责任：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2、本合同签定后，甲、乙双方除单价外如需提出修改时，经双方协商一致后，可以签定补充协议，作为本合同的补充合同，与主合同具有同等法律效力。甲方：乙方：代表人：代表人：二________年____月____日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2026-04-28T08:22:59+08:00</dcterms:created>
  <dcterms:modified xsi:type="dcterms:W3CDTF">2026-04-28T08:22:59+08:00</dcterms:modified>
</cp:coreProperties>
</file>

<file path=docProps/custom.xml><?xml version="1.0" encoding="utf-8"?>
<Properties xmlns="http://schemas.openxmlformats.org/officeDocument/2006/custom-properties" xmlns:vt="http://schemas.openxmlformats.org/officeDocument/2006/docPropsVTypes"/>
</file>